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Stice Travis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60"/>
        <w:spacing w:after="0" w:line="336" w:lineRule="auto"/>
        <w:rPr>
          <w:sz w:val="20"/>
          <w:szCs w:val="20"/>
          <w:color w:val="auto"/>
        </w:rPr>
      </w:pPr>
      <w:r>
        <w:rPr>
          <w:rFonts w:ascii="Times New Roman" w:cs="Times New Roman" w:eastAsia="Times New Roman" w:hAnsi="Times New Roman"/>
          <w:sz w:val="17"/>
          <w:szCs w:val="17"/>
          <w:color w:val="0000FF"/>
        </w:rPr>
        <w:t>500 WEST TEXAS AVENUE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Diamondback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FANG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7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MIDLAND</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79701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7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23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360" w:type="dxa"/>
            <w:vAlign w:val="bottom"/>
          </w:tcPr>
          <w:p>
            <w:pPr>
              <w:spacing w:after="0"/>
              <w:rPr>
                <w:sz w:val="11"/>
                <w:szCs w:val="11"/>
                <w:color w:val="auto"/>
              </w:rPr>
            </w:pP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440" w:type="dxa"/>
            <w:vAlign w:val="bottom"/>
          </w:tcPr>
          <w:p>
            <w:pPr>
              <w:spacing w:after="0"/>
              <w:rPr>
                <w:sz w:val="13"/>
                <w:szCs w:val="13"/>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3"/>
                <w:szCs w:val="13"/>
                <w:color w:val="auto"/>
              </w:rPr>
            </w:pPr>
          </w:p>
        </w:tc>
        <w:tc>
          <w:tcPr>
            <w:tcW w:w="11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7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5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TBS Legacy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08/07/2025</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4,478</w:t>
            </w:r>
            <w:r>
              <w:rPr>
                <w:rFonts w:ascii="Times New Roman" w:cs="Times New Roman" w:eastAsia="Times New Roman" w:hAnsi="Times New Roman"/>
                <w:sz w:val="22"/>
                <w:szCs w:val="22"/>
                <w:color w:val="008000"/>
                <w:w w:val="93"/>
                <w:vertAlign w:val="superscript"/>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141.3635</w:t>
            </w:r>
            <w:r>
              <w:rPr>
                <w:rFonts w:ascii="Times New Roman" w:cs="Times New Roman" w:eastAsia="Times New Roman" w:hAnsi="Times New Roman"/>
                <w:sz w:val="22"/>
                <w:szCs w:val="22"/>
                <w:color w:val="008000"/>
                <w:w w:val="92"/>
                <w:vertAlign w:val="superscript"/>
              </w:rPr>
              <w:t>(2)</w:t>
            </w: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15,922</w:t>
            </w:r>
          </w:p>
        </w:tc>
        <w:tc>
          <w:tcPr>
            <w:tcW w:w="540" w:type="dxa"/>
            <w:vAlign w:val="bottom"/>
          </w:tcPr>
          <w:p>
            <w:pPr>
              <w:jc w:val="center"/>
              <w:ind w:left="225"/>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360" w:type="dxa"/>
            <w:vAlign w:val="bottom"/>
          </w:tcPr>
          <w:p>
            <w:pPr>
              <w:spacing w:after="0"/>
              <w:rPr>
                <w:sz w:val="18"/>
                <w:szCs w:val="18"/>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TBS Legacy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08/07/2025</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10,223</w:t>
            </w:r>
            <w:r>
              <w:rPr>
                <w:rFonts w:ascii="Times New Roman" w:cs="Times New Roman" w:eastAsia="Times New Roman" w:hAnsi="Times New Roman"/>
                <w:sz w:val="22"/>
                <w:szCs w:val="22"/>
                <w:color w:val="008000"/>
                <w:w w:val="93"/>
                <w:vertAlign w:val="superscript"/>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142.3668</w:t>
            </w:r>
            <w:r>
              <w:rPr>
                <w:rFonts w:ascii="Times New Roman" w:cs="Times New Roman" w:eastAsia="Times New Roman" w:hAnsi="Times New Roman"/>
                <w:sz w:val="22"/>
                <w:szCs w:val="22"/>
                <w:color w:val="008000"/>
                <w:w w:val="92"/>
                <w:vertAlign w:val="superscript"/>
              </w:rPr>
              <w:t>(4)</w:t>
            </w: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5,699</w:t>
            </w:r>
          </w:p>
        </w:tc>
        <w:tc>
          <w:tcPr>
            <w:tcW w:w="540" w:type="dxa"/>
            <w:vAlign w:val="bottom"/>
          </w:tcPr>
          <w:p>
            <w:pPr>
              <w:jc w:val="center"/>
              <w:ind w:left="225"/>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360" w:type="dxa"/>
            <w:vAlign w:val="bottom"/>
          </w:tcPr>
          <w:p>
            <w:pPr>
              <w:spacing w:after="0"/>
              <w:rPr>
                <w:sz w:val="18"/>
                <w:szCs w:val="18"/>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TBS Legacy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08/07/2025</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2,478</w:t>
            </w:r>
            <w:r>
              <w:rPr>
                <w:rFonts w:ascii="Times New Roman" w:cs="Times New Roman" w:eastAsia="Times New Roman" w:hAnsi="Times New Roman"/>
                <w:sz w:val="22"/>
                <w:szCs w:val="22"/>
                <w:color w:val="008000"/>
                <w:w w:val="93"/>
                <w:vertAlign w:val="superscript"/>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143.5437</w:t>
            </w:r>
            <w:r>
              <w:rPr>
                <w:rFonts w:ascii="Times New Roman" w:cs="Times New Roman" w:eastAsia="Times New Roman" w:hAnsi="Times New Roman"/>
                <w:sz w:val="22"/>
                <w:szCs w:val="22"/>
                <w:color w:val="008000"/>
                <w:w w:val="92"/>
                <w:vertAlign w:val="superscript"/>
              </w:rPr>
              <w:t>(5)</w:t>
            </w: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3,221</w:t>
            </w:r>
          </w:p>
        </w:tc>
        <w:tc>
          <w:tcPr>
            <w:tcW w:w="540" w:type="dxa"/>
            <w:vAlign w:val="bottom"/>
          </w:tcPr>
          <w:p>
            <w:pPr>
              <w:jc w:val="center"/>
              <w:ind w:left="225"/>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360" w:type="dxa"/>
            <w:vAlign w:val="bottom"/>
          </w:tcPr>
          <w:p>
            <w:pPr>
              <w:spacing w:after="0"/>
              <w:rPr>
                <w:sz w:val="18"/>
                <w:szCs w:val="18"/>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TBS Legacy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08/07/2025</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1,292</w:t>
            </w:r>
            <w:r>
              <w:rPr>
                <w:rFonts w:ascii="Times New Roman" w:cs="Times New Roman" w:eastAsia="Times New Roman" w:hAnsi="Times New Roman"/>
                <w:sz w:val="22"/>
                <w:szCs w:val="22"/>
                <w:color w:val="008000"/>
                <w:w w:val="93"/>
                <w:vertAlign w:val="superscript"/>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144.4238</w:t>
            </w:r>
            <w:r>
              <w:rPr>
                <w:rFonts w:ascii="Times New Roman" w:cs="Times New Roman" w:eastAsia="Times New Roman" w:hAnsi="Times New Roman"/>
                <w:sz w:val="22"/>
                <w:szCs w:val="22"/>
                <w:color w:val="008000"/>
                <w:w w:val="92"/>
                <w:vertAlign w:val="superscript"/>
              </w:rPr>
              <w:t>(6)</w:t>
            </w: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1,929</w:t>
            </w:r>
          </w:p>
        </w:tc>
        <w:tc>
          <w:tcPr>
            <w:tcW w:w="540" w:type="dxa"/>
            <w:vAlign w:val="bottom"/>
          </w:tcPr>
          <w:p>
            <w:pPr>
              <w:jc w:val="center"/>
              <w:ind w:left="225"/>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360" w:type="dxa"/>
            <w:vAlign w:val="bottom"/>
          </w:tcPr>
          <w:p>
            <w:pPr>
              <w:spacing w:after="0"/>
              <w:rPr>
                <w:sz w:val="18"/>
                <w:szCs w:val="18"/>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TBS Legacy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08/07/2025</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975</w:t>
            </w:r>
            <w:r>
              <w:rPr>
                <w:rFonts w:ascii="Times New Roman" w:cs="Times New Roman" w:eastAsia="Times New Roman" w:hAnsi="Times New Roman"/>
                <w:sz w:val="22"/>
                <w:szCs w:val="22"/>
                <w:color w:val="008000"/>
                <w:w w:val="93"/>
                <w:vertAlign w:val="superscript"/>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145.6476</w:t>
            </w:r>
            <w:r>
              <w:rPr>
                <w:rFonts w:ascii="Times New Roman" w:cs="Times New Roman" w:eastAsia="Times New Roman" w:hAnsi="Times New Roman"/>
                <w:sz w:val="22"/>
                <w:szCs w:val="22"/>
                <w:color w:val="008000"/>
                <w:w w:val="92"/>
                <w:vertAlign w:val="superscript"/>
              </w:rPr>
              <w:t>(7)</w:t>
            </w:r>
          </w:p>
        </w:tc>
        <w:tc>
          <w:tcPr>
            <w:tcW w:w="80" w:type="dxa"/>
            <w:vAlign w:val="bottom"/>
          </w:tcPr>
          <w:p>
            <w:pPr>
              <w:spacing w:after="0"/>
              <w:rPr>
                <w:sz w:val="18"/>
                <w:szCs w:val="18"/>
                <w:color w:val="auto"/>
              </w:rPr>
            </w:pPr>
          </w:p>
        </w:tc>
        <w:tc>
          <w:tcPr>
            <w:tcW w:w="700" w:type="dxa"/>
            <w:vAlign w:val="bottom"/>
          </w:tcPr>
          <w:p>
            <w:pPr>
              <w:jc w:val="center"/>
              <w:ind w:left="329"/>
              <w:spacing w:after="0"/>
              <w:rPr>
                <w:sz w:val="20"/>
                <w:szCs w:val="20"/>
                <w:color w:val="auto"/>
              </w:rPr>
            </w:pPr>
            <w:r>
              <w:rPr>
                <w:rFonts w:ascii="Times New Roman" w:cs="Times New Roman" w:eastAsia="Times New Roman" w:hAnsi="Times New Roman"/>
                <w:sz w:val="17"/>
                <w:szCs w:val="17"/>
                <w:color w:val="0000FF"/>
              </w:rPr>
              <w:t>954</w:t>
            </w:r>
          </w:p>
        </w:tc>
        <w:tc>
          <w:tcPr>
            <w:tcW w:w="440" w:type="dxa"/>
            <w:vAlign w:val="bottom"/>
          </w:tcPr>
          <w:p>
            <w:pPr>
              <w:spacing w:after="0"/>
              <w:rPr>
                <w:sz w:val="18"/>
                <w:szCs w:val="18"/>
                <w:color w:val="auto"/>
              </w:rPr>
            </w:pPr>
          </w:p>
        </w:tc>
        <w:tc>
          <w:tcPr>
            <w:tcW w:w="540" w:type="dxa"/>
            <w:vAlign w:val="bottom"/>
          </w:tcPr>
          <w:p>
            <w:pPr>
              <w:jc w:val="center"/>
              <w:ind w:left="225"/>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360" w:type="dxa"/>
            <w:vAlign w:val="bottom"/>
          </w:tcPr>
          <w:p>
            <w:pPr>
              <w:spacing w:after="0"/>
              <w:rPr>
                <w:sz w:val="18"/>
                <w:szCs w:val="18"/>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TBS Legacy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08/07/2025</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474</w:t>
            </w:r>
            <w:r>
              <w:rPr>
                <w:rFonts w:ascii="Times New Roman" w:cs="Times New Roman" w:eastAsia="Times New Roman" w:hAnsi="Times New Roman"/>
                <w:sz w:val="10"/>
                <w:szCs w:val="10"/>
                <w:color w:val="008000"/>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146.6345</w:t>
            </w:r>
            <w:r>
              <w:rPr>
                <w:rFonts w:ascii="Times New Roman" w:cs="Times New Roman" w:eastAsia="Times New Roman" w:hAnsi="Times New Roman"/>
                <w:sz w:val="22"/>
                <w:szCs w:val="22"/>
                <w:color w:val="008000"/>
                <w:w w:val="92"/>
                <w:vertAlign w:val="superscript"/>
              </w:rPr>
              <w:t>(8)</w:t>
            </w:r>
          </w:p>
        </w:tc>
        <w:tc>
          <w:tcPr>
            <w:tcW w:w="80" w:type="dxa"/>
            <w:vAlign w:val="bottom"/>
          </w:tcPr>
          <w:p>
            <w:pPr>
              <w:spacing w:after="0"/>
              <w:rPr>
                <w:sz w:val="18"/>
                <w:szCs w:val="18"/>
                <w:color w:val="auto"/>
              </w:rPr>
            </w:pPr>
          </w:p>
        </w:tc>
        <w:tc>
          <w:tcPr>
            <w:tcW w:w="700" w:type="dxa"/>
            <w:vAlign w:val="bottom"/>
          </w:tcPr>
          <w:p>
            <w:pPr>
              <w:jc w:val="center"/>
              <w:ind w:left="329"/>
              <w:spacing w:after="0"/>
              <w:rPr>
                <w:sz w:val="20"/>
                <w:szCs w:val="20"/>
                <w:color w:val="auto"/>
              </w:rPr>
            </w:pPr>
            <w:r>
              <w:rPr>
                <w:rFonts w:ascii="Times New Roman" w:cs="Times New Roman" w:eastAsia="Times New Roman" w:hAnsi="Times New Roman"/>
                <w:sz w:val="17"/>
                <w:szCs w:val="17"/>
                <w:color w:val="0000FF"/>
              </w:rPr>
              <w:t>480</w:t>
            </w:r>
          </w:p>
        </w:tc>
        <w:tc>
          <w:tcPr>
            <w:tcW w:w="440" w:type="dxa"/>
            <w:vAlign w:val="bottom"/>
          </w:tcPr>
          <w:p>
            <w:pPr>
              <w:spacing w:after="0"/>
              <w:rPr>
                <w:sz w:val="18"/>
                <w:szCs w:val="18"/>
                <w:color w:val="auto"/>
              </w:rPr>
            </w:pPr>
          </w:p>
        </w:tc>
        <w:tc>
          <w:tcPr>
            <w:tcW w:w="540" w:type="dxa"/>
            <w:vAlign w:val="bottom"/>
          </w:tcPr>
          <w:p>
            <w:pPr>
              <w:jc w:val="center"/>
              <w:ind w:left="225"/>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360" w:type="dxa"/>
            <w:vAlign w:val="bottom"/>
          </w:tcPr>
          <w:p>
            <w:pPr>
              <w:spacing w:after="0"/>
              <w:rPr>
                <w:sz w:val="18"/>
                <w:szCs w:val="18"/>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TBS Legacy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08/07/2025</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320" w:type="dxa"/>
            <w:vAlign w:val="bottom"/>
          </w:tcPr>
          <w:p>
            <w:pPr>
              <w:spacing w:after="0"/>
              <w:rPr>
                <w:sz w:val="18"/>
                <w:szCs w:val="18"/>
                <w:color w:val="auto"/>
              </w:rPr>
            </w:pPr>
          </w:p>
        </w:tc>
        <w:tc>
          <w:tcPr>
            <w:tcW w:w="8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color w:val="0000FF"/>
                <w:vertAlign w:val="subscript"/>
              </w:rPr>
              <w:t>480</w:t>
            </w:r>
            <w:r>
              <w:rPr>
                <w:rFonts w:ascii="Times New Roman" w:cs="Times New Roman" w:eastAsia="Times New Roman" w:hAnsi="Times New Roman"/>
                <w:sz w:val="10"/>
                <w:szCs w:val="10"/>
                <w:color w:val="008000"/>
              </w:rPr>
              <w:t>(1)</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60" w:type="dxa"/>
            <w:vAlign w:val="bottom"/>
          </w:tcPr>
          <w:p>
            <w:pPr>
              <w:ind w:left="100"/>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147.4388</w:t>
            </w:r>
            <w:r>
              <w:rPr>
                <w:rFonts w:ascii="Times New Roman" w:cs="Times New Roman" w:eastAsia="Times New Roman" w:hAnsi="Times New Roman"/>
                <w:sz w:val="22"/>
                <w:szCs w:val="22"/>
                <w:color w:val="008000"/>
                <w:w w:val="92"/>
                <w:vertAlign w:val="superscript"/>
              </w:rPr>
              <w:t>(9)</w:t>
            </w:r>
          </w:p>
        </w:tc>
        <w:tc>
          <w:tcPr>
            <w:tcW w:w="80" w:type="dxa"/>
            <w:vAlign w:val="bottom"/>
          </w:tcPr>
          <w:p>
            <w:pPr>
              <w:spacing w:after="0"/>
              <w:rPr>
                <w:sz w:val="18"/>
                <w:szCs w:val="18"/>
                <w:color w:val="auto"/>
              </w:rPr>
            </w:pPr>
          </w:p>
        </w:tc>
        <w:tc>
          <w:tcPr>
            <w:tcW w:w="700" w:type="dxa"/>
            <w:vAlign w:val="bottom"/>
          </w:tcPr>
          <w:p>
            <w:pPr>
              <w:jc w:val="center"/>
              <w:ind w:left="329"/>
              <w:spacing w:after="0"/>
              <w:rPr>
                <w:sz w:val="20"/>
                <w:szCs w:val="20"/>
                <w:color w:val="auto"/>
              </w:rPr>
            </w:pPr>
            <w:r>
              <w:rPr>
                <w:rFonts w:ascii="Times New Roman" w:cs="Times New Roman" w:eastAsia="Times New Roman" w:hAnsi="Times New Roman"/>
                <w:sz w:val="17"/>
                <w:szCs w:val="17"/>
                <w:color w:val="0000FF"/>
              </w:rPr>
              <w:t>0</w:t>
            </w:r>
          </w:p>
        </w:tc>
        <w:tc>
          <w:tcPr>
            <w:tcW w:w="440" w:type="dxa"/>
            <w:vAlign w:val="bottom"/>
          </w:tcPr>
          <w:p>
            <w:pPr>
              <w:spacing w:after="0"/>
              <w:rPr>
                <w:sz w:val="18"/>
                <w:szCs w:val="18"/>
                <w:color w:val="auto"/>
              </w:rPr>
            </w:pPr>
          </w:p>
        </w:tc>
        <w:tc>
          <w:tcPr>
            <w:tcW w:w="540" w:type="dxa"/>
            <w:vAlign w:val="bottom"/>
          </w:tcPr>
          <w:p>
            <w:pPr>
              <w:jc w:val="center"/>
              <w:ind w:left="225"/>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360" w:type="dxa"/>
            <w:vAlign w:val="bottom"/>
          </w:tcPr>
          <w:p>
            <w:pPr>
              <w:spacing w:after="0"/>
              <w:rPr>
                <w:sz w:val="18"/>
                <w:szCs w:val="18"/>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9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102,145</w:t>
            </w:r>
          </w:p>
        </w:tc>
        <w:tc>
          <w:tcPr>
            <w:tcW w:w="540" w:type="dxa"/>
            <w:vAlign w:val="bottom"/>
            <w:tcBorders>
              <w:top w:val="single" w:sz="8" w:color="2C2C2C"/>
            </w:tcBorders>
          </w:tcPr>
          <w:p>
            <w:pPr>
              <w:jc w:val="center"/>
              <w:ind w:left="225"/>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top w:val="single" w:sz="8" w:color="2C2C2C"/>
            </w:tcBorders>
          </w:tcPr>
          <w:p>
            <w:pPr>
              <w:spacing w:after="0"/>
              <w:rPr>
                <w:sz w:val="23"/>
                <w:szCs w:val="23"/>
                <w:color w:val="auto"/>
              </w:rPr>
            </w:pP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By Stice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419,271</w:t>
            </w:r>
          </w:p>
        </w:tc>
        <w:tc>
          <w:tcPr>
            <w:tcW w:w="540" w:type="dxa"/>
            <w:vAlign w:val="bottom"/>
          </w:tcPr>
          <w:p>
            <w:pPr>
              <w:jc w:val="center"/>
              <w:ind w:left="205"/>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(10)</w:t>
            </w:r>
          </w:p>
        </w:tc>
        <w:tc>
          <w:tcPr>
            <w:tcW w:w="360" w:type="dxa"/>
            <w:vAlign w:val="bottom"/>
          </w:tcPr>
          <w:p>
            <w:pPr>
              <w:spacing w:after="0"/>
              <w:rPr>
                <w:sz w:val="18"/>
                <w:szCs w:val="18"/>
                <w:color w:val="auto"/>
              </w:rPr>
            </w:pP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5"/>
          </w:tcPr>
          <w:p>
            <w:pPr>
              <w:ind w:left="20"/>
              <w:spacing w:after="0" w:line="281" w:lineRule="exact"/>
              <w:rPr>
                <w:sz w:val="20"/>
                <w:szCs w:val="20"/>
                <w:color w:val="auto"/>
              </w:rPr>
            </w:pPr>
            <w:r>
              <w:rPr>
                <w:rFonts w:ascii="Times New Roman" w:cs="Times New Roman" w:eastAsia="Times New Roman" w:hAnsi="Times New Roman"/>
                <w:sz w:val="32"/>
                <w:szCs w:val="32"/>
                <w:color w:val="0000FF"/>
                <w:vertAlign w:val="subscript"/>
              </w:rPr>
              <w:t>Ltd.</w:t>
            </w:r>
            <w:r>
              <w:rPr>
                <w:rFonts w:ascii="Times New Roman" w:cs="Times New Roman" w:eastAsia="Times New Roman" w:hAnsi="Times New Roman"/>
                <w:sz w:val="11"/>
                <w:szCs w:val="11"/>
                <w:color w:val="008000"/>
              </w:rPr>
              <w:t>(10)</w:t>
            </w: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3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679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679575"/>
                    </a:xfrm>
                    <a:prstGeom prst="rect">
                      <a:avLst/>
                    </a:prstGeom>
                    <a:noFill/>
                  </pic:spPr>
                </pic:pic>
              </a:graphicData>
            </a:graphic>
          </wp:anchor>
        </w:drawing>
      </w:r>
    </w:p>
    <w:p>
      <w:pPr>
        <w:sectPr>
          <w:pgSz w:w="11900" w:h="16838" w:orient="portrait"/>
          <w:cols w:equalWidth="0" w:num="1">
            <w:col w:w="11080"/>
          </w:cols>
          <w:pgMar w:left="460" w:top="219" w:right="359" w:bottom="17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51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225107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2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2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These securities were sold by TBS Legacy Investments, Ltd. in which the Stice 2023 Children's Trust holds 100% of the limited partnership units. Mr. Stice's adult children are the beneficiaries of the</w:t>
            </w:r>
          </w:p>
        </w:tc>
        <w:tc>
          <w:tcPr>
            <w:tcW w:w="0" w:type="dxa"/>
            <w:vAlign w:val="bottom"/>
          </w:tcPr>
          <w:p>
            <w:pPr>
              <w:spacing w:after="0"/>
              <w:rPr>
                <w:sz w:val="1"/>
                <w:szCs w:val="1"/>
                <w:color w:val="auto"/>
              </w:rPr>
            </w:pPr>
          </w:p>
        </w:tc>
      </w:tr>
      <w:tr>
        <w:trPr>
          <w:trHeight w:val="67"/>
        </w:trPr>
        <w:tc>
          <w:tcPr>
            <w:tcW w:w="800" w:type="dxa"/>
            <w:vAlign w:val="bottom"/>
          </w:tcPr>
          <w:p>
            <w:pPr>
              <w:spacing w:after="0"/>
              <w:rPr>
                <w:sz w:val="5"/>
                <w:szCs w:val="5"/>
                <w:color w:val="auto"/>
              </w:rPr>
            </w:pPr>
          </w:p>
        </w:tc>
        <w:tc>
          <w:tcPr>
            <w:tcW w:w="76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2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800" w:type="dxa"/>
            <w:vAlign w:val="bottom"/>
          </w:tcPr>
          <w:p>
            <w:pPr>
              <w:ind w:left="12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c>
          <w:tcPr>
            <w:tcW w:w="0" w:type="dxa"/>
            <w:vAlign w:val="bottom"/>
          </w:tcPr>
          <w:p>
            <w:pPr>
              <w:spacing w:after="0"/>
              <w:rPr>
                <w:sz w:val="1"/>
                <w:szCs w:val="1"/>
                <w:color w:val="auto"/>
              </w:rPr>
            </w:pPr>
          </w:p>
        </w:tc>
      </w:tr>
      <w:tr>
        <w:trPr>
          <w:trHeight w:val="80"/>
        </w:trPr>
        <w:tc>
          <w:tcPr>
            <w:tcW w:w="1560" w:type="dxa"/>
            <w:vAlign w:val="bottom"/>
            <w:gridSpan w:val="2"/>
          </w:tcPr>
          <w:p>
            <w:pPr>
              <w:ind w:left="40"/>
              <w:spacing w:after="0" w:line="80" w:lineRule="exact"/>
              <w:rPr>
                <w:sz w:val="20"/>
                <w:szCs w:val="20"/>
                <w:color w:val="auto"/>
              </w:rPr>
            </w:pPr>
            <w:r>
              <w:rPr>
                <w:rFonts w:ascii="Times New Roman" w:cs="Times New Roman" w:eastAsia="Times New Roman" w:hAnsi="Times New Roman"/>
                <w:sz w:val="9"/>
                <w:szCs w:val="9"/>
                <w:color w:val="008000"/>
              </w:rPr>
              <w:t>Stice 2023 Children's Trust.</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500" w:type="dxa"/>
            <w:vAlign w:val="bottom"/>
          </w:tcPr>
          <w:p>
            <w:pPr>
              <w:spacing w:after="0"/>
              <w:rPr>
                <w:sz w:val="6"/>
                <w:szCs w:val="6"/>
                <w:color w:val="auto"/>
              </w:rPr>
            </w:pPr>
          </w:p>
        </w:tc>
        <w:tc>
          <w:tcPr>
            <w:tcW w:w="10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Following</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800" w:type="dxa"/>
            <w:vAlign w:val="bottom"/>
          </w:tcPr>
          <w:p>
            <w:pPr>
              <w:spacing w:after="0"/>
              <w:rPr>
                <w:sz w:val="6"/>
                <w:szCs w:val="6"/>
                <w:color w:val="auto"/>
              </w:rPr>
            </w:pPr>
          </w:p>
        </w:tc>
        <w:tc>
          <w:tcPr>
            <w:tcW w:w="760" w:type="dxa"/>
            <w:vAlign w:val="bottom"/>
          </w:tcPr>
          <w:p>
            <w:pPr>
              <w:spacing w:after="0" w:line="78" w:lineRule="exact"/>
              <w:rPr>
                <w:sz w:val="20"/>
                <w:szCs w:val="20"/>
                <w:color w:val="auto"/>
              </w:rPr>
            </w:pPr>
            <w:r>
              <w:rPr>
                <w:rFonts w:ascii="Arial" w:cs="Arial" w:eastAsia="Arial" w:hAnsi="Arial"/>
                <w:sz w:val="8"/>
                <w:szCs w:val="8"/>
                <w:b w:val="1"/>
                <w:bCs w:val="1"/>
                <w:color w:val="auto"/>
              </w:rPr>
              <w:t>Security</w:t>
            </w: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22"/>
        </w:trPr>
        <w:tc>
          <w:tcPr>
            <w:tcW w:w="1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008000"/>
              </w:rPr>
              <w:t>2.</w:t>
            </w:r>
          </w:p>
        </w:tc>
        <w:tc>
          <w:tcPr>
            <w:tcW w:w="726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008000"/>
                <w:w w:val="92"/>
              </w:rPr>
              <w:t>The price reported in Column 4 is a weighted average sale price. These shares were sold</w:t>
            </w:r>
            <w:r>
              <w:rPr>
                <w:rFonts w:ascii="Arial" w:cs="Arial" w:eastAsia="Arial" w:hAnsi="Arial"/>
                <w:sz w:val="11"/>
                <w:szCs w:val="11"/>
                <w:b w:val="1"/>
                <w:bCs w:val="1"/>
                <w:color w:val="000000"/>
                <w:w w:val="92"/>
              </w:rPr>
              <w:t>Disposed</w:t>
            </w:r>
            <w:r>
              <w:rPr>
                <w:rFonts w:ascii="Times New Roman" w:cs="Times New Roman" w:eastAsia="Times New Roman" w:hAnsi="Times New Roman"/>
                <w:sz w:val="13"/>
                <w:szCs w:val="13"/>
                <w:color w:val="008000"/>
                <w:w w:val="92"/>
              </w:rPr>
              <w:t>inmultiple transactions at prices ranging</w:t>
            </w:r>
            <w:r>
              <w:rPr>
                <w:rFonts w:ascii="Arial" w:cs="Arial" w:eastAsia="Arial" w:hAnsi="Arial"/>
                <w:sz w:val="11"/>
                <w:szCs w:val="11"/>
                <w:b w:val="1"/>
                <w:bCs w:val="1"/>
                <w:color w:val="000000"/>
                <w:w w:val="92"/>
              </w:rPr>
              <w:t>3and</w:t>
            </w:r>
            <w:r>
              <w:rPr>
                <w:rFonts w:ascii="Times New Roman" w:cs="Times New Roman" w:eastAsia="Times New Roman" w:hAnsi="Times New Roman"/>
                <w:sz w:val="13"/>
                <w:szCs w:val="13"/>
                <w:color w:val="008000"/>
                <w:w w:val="92"/>
              </w:rPr>
              <w:t>from</w:t>
            </w:r>
            <w:r>
              <w:rPr>
                <w:rFonts w:ascii="Arial" w:cs="Arial" w:eastAsia="Arial" w:hAnsi="Arial"/>
                <w:sz w:val="11"/>
                <w:szCs w:val="11"/>
                <w:b w:val="1"/>
                <w:bCs w:val="1"/>
                <w:color w:val="000000"/>
                <w:w w:val="92"/>
              </w:rPr>
              <w:t>4)</w:t>
            </w:r>
          </w:p>
        </w:tc>
        <w:tc>
          <w:tcPr>
            <w:tcW w:w="3420" w:type="dxa"/>
            <w:vAlign w:val="bottom"/>
          </w:tcPr>
          <w:p>
            <w:pPr>
              <w:spacing w:after="0" w:line="122" w:lineRule="exact"/>
              <w:rPr>
                <w:sz w:val="20"/>
                <w:szCs w:val="20"/>
                <w:color w:val="auto"/>
              </w:rPr>
            </w:pPr>
            <w:r>
              <w:rPr>
                <w:rFonts w:ascii="Times New Roman" w:cs="Times New Roman" w:eastAsia="Times New Roman" w:hAnsi="Times New Roman"/>
                <w:sz w:val="13"/>
                <w:szCs w:val="13"/>
                <w:color w:val="008000"/>
                <w:w w:val="89"/>
              </w:rPr>
              <w:t>$140.91 per share to $141</w:t>
            </w:r>
            <w:r>
              <w:rPr>
                <w:rFonts w:ascii="Arial" w:cs="Arial" w:eastAsia="Arial" w:hAnsi="Arial"/>
                <w:sz w:val="11"/>
                <w:szCs w:val="11"/>
                <w:b w:val="1"/>
                <w:bCs w:val="1"/>
                <w:color w:val="000000"/>
                <w:w w:val="89"/>
              </w:rPr>
              <w:t>Reported</w:t>
            </w:r>
            <w:r>
              <w:rPr>
                <w:rFonts w:ascii="Times New Roman" w:cs="Times New Roman" w:eastAsia="Times New Roman" w:hAnsi="Times New Roman"/>
                <w:sz w:val="13"/>
                <w:szCs w:val="13"/>
                <w:color w:val="008000"/>
                <w:w w:val="89"/>
              </w:rPr>
              <w:t>.89per share, inclusive. The reporting</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7260" w:type="dxa"/>
            <w:vAlign w:val="bottom"/>
          </w:tcPr>
          <w:p>
            <w:pPr>
              <w:ind w:left="4520"/>
              <w:spacing w:after="0" w:line="120" w:lineRule="exact"/>
              <w:rPr>
                <w:sz w:val="20"/>
                <w:szCs w:val="20"/>
                <w:color w:val="auto"/>
              </w:rPr>
            </w:pPr>
            <w:r>
              <w:rPr>
                <w:rFonts w:ascii="Arial" w:cs="Arial" w:eastAsia="Arial" w:hAnsi="Arial"/>
                <w:sz w:val="12"/>
                <w:szCs w:val="12"/>
                <w:b w:val="1"/>
                <w:bCs w:val="1"/>
                <w:color w:val="auto"/>
              </w:rPr>
              <w:t>of (D)</w:t>
            </w:r>
          </w:p>
        </w:tc>
        <w:tc>
          <w:tcPr>
            <w:tcW w:w="3420" w:type="dxa"/>
            <w:vAlign w:val="bottom"/>
          </w:tcPr>
          <w:p>
            <w:pPr>
              <w:ind w:left="1240"/>
              <w:spacing w:after="0" w:line="120" w:lineRule="exact"/>
              <w:rPr>
                <w:sz w:val="20"/>
                <w:szCs w:val="20"/>
                <w:color w:val="auto"/>
              </w:rPr>
            </w:pPr>
            <w:r>
              <w:rPr>
                <w:rFonts w:ascii="Arial" w:cs="Arial" w:eastAsia="Arial" w:hAnsi="Arial"/>
                <w:sz w:val="12"/>
                <w:szCs w:val="12"/>
                <w:b w:val="1"/>
                <w:bCs w:val="1"/>
                <w:color w:val="auto"/>
              </w:rPr>
              <w:t>Tra saction(s)</w:t>
            </w:r>
          </w:p>
        </w:tc>
        <w:tc>
          <w:tcPr>
            <w:tcW w:w="0" w:type="dxa"/>
            <w:vAlign w:val="bottom"/>
          </w:tcPr>
          <w:p>
            <w:pPr>
              <w:spacing w:after="0"/>
              <w:rPr>
                <w:sz w:val="1"/>
                <w:szCs w:val="1"/>
                <w:color w:val="auto"/>
              </w:rPr>
            </w:pPr>
          </w:p>
        </w:tc>
      </w:tr>
      <w:tr>
        <w:trPr>
          <w:trHeight w:val="27"/>
        </w:trPr>
        <w:tc>
          <w:tcPr>
            <w:tcW w:w="10800" w:type="dxa"/>
            <w:vAlign w:val="bottom"/>
            <w:gridSpan w:val="3"/>
          </w:tcPr>
          <w:p>
            <w:pPr>
              <w:spacing w:after="0" w:line="27" w:lineRule="exact"/>
              <w:rPr>
                <w:sz w:val="20"/>
                <w:szCs w:val="20"/>
                <w:color w:val="auto"/>
              </w:rPr>
            </w:pPr>
            <w:r>
              <w:rPr>
                <w:rFonts w:ascii="Times New Roman" w:cs="Times New Roman" w:eastAsia="Times New Roman" w:hAnsi="Times New Roman"/>
                <w:sz w:val="3"/>
                <w:szCs w:val="3"/>
                <w:color w:val="008000"/>
              </w:rPr>
              <w:t>person undertakes to provide to Diamondback Energy, Inc., any security holder of Diamondback Energy, Inc., or the staff of the Securities and Exchange Commission, upon request, full information</w:t>
            </w:r>
          </w:p>
        </w:tc>
        <w:tc>
          <w:tcPr>
            <w:tcW w:w="0" w:type="dxa"/>
            <w:vAlign w:val="bottom"/>
          </w:tcPr>
          <w:p>
            <w:pPr>
              <w:spacing w:after="0" w:line="20" w:lineRule="exact"/>
              <w:rPr>
                <w:sz w:val="1"/>
                <w:szCs w:val="1"/>
                <w:color w:val="auto"/>
              </w:rPr>
            </w:pPr>
          </w:p>
        </w:tc>
      </w:tr>
      <w:tr>
        <w:trPr>
          <w:trHeight w:val="107"/>
        </w:trPr>
        <w:tc>
          <w:tcPr>
            <w:tcW w:w="120" w:type="dxa"/>
            <w:vAlign w:val="bottom"/>
          </w:tcPr>
          <w:p>
            <w:pPr>
              <w:spacing w:after="0"/>
              <w:rPr>
                <w:sz w:val="9"/>
                <w:szCs w:val="9"/>
                <w:color w:val="auto"/>
              </w:rPr>
            </w:pPr>
          </w:p>
        </w:tc>
        <w:tc>
          <w:tcPr>
            <w:tcW w:w="7260" w:type="dxa"/>
            <w:vAlign w:val="bottom"/>
          </w:tcPr>
          <w:p>
            <w:pPr>
              <w:ind w:left="4520"/>
              <w:spacing w:after="0" w:line="107" w:lineRule="exact"/>
              <w:rPr>
                <w:sz w:val="20"/>
                <w:szCs w:val="20"/>
                <w:color w:val="auto"/>
              </w:rPr>
            </w:pPr>
            <w:r>
              <w:rPr>
                <w:rFonts w:ascii="Arial" w:cs="Arial" w:eastAsia="Arial" w:hAnsi="Arial"/>
                <w:sz w:val="12"/>
                <w:szCs w:val="12"/>
                <w:b w:val="1"/>
                <w:bCs w:val="1"/>
                <w:color w:val="auto"/>
              </w:rPr>
              <w:t>(Instr. 3, 4</w:t>
            </w:r>
          </w:p>
        </w:tc>
        <w:tc>
          <w:tcPr>
            <w:tcW w:w="3420" w:type="dxa"/>
            <w:vAlign w:val="bottom"/>
          </w:tcPr>
          <w:p>
            <w:pPr>
              <w:ind w:left="1240"/>
              <w:spacing w:after="0" w:line="107"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40"/>
        </w:trPr>
        <w:tc>
          <w:tcPr>
            <w:tcW w:w="7380" w:type="dxa"/>
            <w:vAlign w:val="bottom"/>
            <w:gridSpan w:val="2"/>
          </w:tcPr>
          <w:p>
            <w:pPr>
              <w:spacing w:after="0" w:line="40" w:lineRule="exact"/>
              <w:rPr>
                <w:sz w:val="20"/>
                <w:szCs w:val="20"/>
                <w:color w:val="auto"/>
              </w:rPr>
            </w:pPr>
            <w:r>
              <w:rPr>
                <w:rFonts w:ascii="Times New Roman" w:cs="Times New Roman" w:eastAsia="Times New Roman" w:hAnsi="Times New Roman"/>
                <w:sz w:val="4"/>
                <w:szCs w:val="4"/>
                <w:color w:val="008000"/>
              </w:rPr>
              <w:t>regarding the number of shares sold at each separate price within the range set forth in this footnote and in footnotes 4 through 9.</w:t>
            </w:r>
          </w:p>
        </w:tc>
        <w:tc>
          <w:tcPr>
            <w:tcW w:w="3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3"/>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3.</w:t>
            </w:r>
          </w:p>
        </w:tc>
        <w:tc>
          <w:tcPr>
            <w:tcW w:w="7260" w:type="dxa"/>
            <w:vAlign w:val="bottom"/>
          </w:tcPr>
          <w:p>
            <w:pPr>
              <w:ind w:left="4520"/>
              <w:spacing w:after="0" w:line="93" w:lineRule="exact"/>
              <w:rPr>
                <w:sz w:val="20"/>
                <w:szCs w:val="20"/>
                <w:color w:val="auto"/>
              </w:rPr>
            </w:pPr>
            <w:r>
              <w:rPr>
                <w:rFonts w:ascii="Arial" w:cs="Arial" w:eastAsia="Arial" w:hAnsi="Arial"/>
                <w:sz w:val="10"/>
                <w:szCs w:val="10"/>
                <w:b w:val="1"/>
                <w:bCs w:val="1"/>
                <w:color w:val="auto"/>
              </w:rPr>
              <w:t>and 5)</w:t>
            </w:r>
          </w:p>
        </w:tc>
        <w:tc>
          <w:tcPr>
            <w:tcW w:w="3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120" w:type="dxa"/>
            <w:vAlign w:val="bottom"/>
            <w:vMerge w:val="continue"/>
          </w:tcPr>
          <w:p>
            <w:pPr>
              <w:spacing w:after="0"/>
              <w:rPr>
                <w:sz w:val="11"/>
                <w:szCs w:val="11"/>
                <w:color w:val="auto"/>
              </w:rPr>
            </w:pPr>
          </w:p>
        </w:tc>
        <w:tc>
          <w:tcPr>
            <w:tcW w:w="10680" w:type="dxa"/>
            <w:vAlign w:val="bottom"/>
            <w:gridSpan w:val="2"/>
          </w:tcPr>
          <w:p>
            <w:pPr>
              <w:ind w:left="20"/>
              <w:spacing w:after="0" w:line="134" w:lineRule="exact"/>
              <w:rPr>
                <w:sz w:val="20"/>
                <w:szCs w:val="20"/>
                <w:color w:val="auto"/>
              </w:rPr>
            </w:pPr>
            <w:r>
              <w:rPr>
                <w:rFonts w:ascii="Times New Roman" w:cs="Times New Roman" w:eastAsia="Times New Roman" w:hAnsi="Times New Roman"/>
                <w:sz w:val="13"/>
                <w:szCs w:val="13"/>
                <w:color w:val="008000"/>
              </w:rPr>
              <w:t>The Stice 2023 Children's Trust for the benefit of Mr. Stice's adult children is the limited partner of TBS Legacy Investments, Ltd. Mr. Stice and his spouse serve as the trustees of the Stice 2023</w:t>
            </w:r>
          </w:p>
        </w:tc>
        <w:tc>
          <w:tcPr>
            <w:tcW w:w="0" w:type="dxa"/>
            <w:vAlign w:val="bottom"/>
          </w:tcPr>
          <w:p>
            <w:pPr>
              <w:spacing w:after="0"/>
              <w:rPr>
                <w:sz w:val="1"/>
                <w:szCs w:val="1"/>
                <w:color w:val="auto"/>
              </w:rPr>
            </w:pPr>
          </w:p>
        </w:tc>
      </w:tr>
    </w:tbl>
    <w:p>
      <w:pPr>
        <w:ind w:left="40" w:right="560"/>
        <w:spacing w:after="0" w:line="250" w:lineRule="auto"/>
        <w:rPr>
          <w:sz w:val="20"/>
          <w:szCs w:val="20"/>
          <w:color w:val="auto"/>
        </w:rPr>
      </w:pPr>
      <w:r>
        <w:rPr>
          <w:rFonts w:ascii="Times New Roman" w:cs="Times New Roman" w:eastAsia="Times New Roman" w:hAnsi="Times New Roman"/>
          <w:sz w:val="13"/>
          <w:szCs w:val="13"/>
          <w:color w:val="008000"/>
        </w:rPr>
        <w:t>Children's Trust and, as a result, may be deemed to have beneficial ownership of the securities in which their adult children have a pecuniary interest. Further, Stice Management, LLC serves as the general partner of TBS Legacy Investments, Ltd. Mr. Stice and his spouse hold 100% of the membership interests in Stice Management, LLC, of which Mr. Stice is the manager.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4. The price reported in Column 4 is a weighted average sale price. These shares were sold in multiple transactions at prices ranging from $141.92 per share to $142.91 per share, inclusive.</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5. The price reported in Column 4 is a weighted average sale price. These shares were sold in multiple transactions at prices ranging from $143.00 per share to $143.92 per share, inclusive.</w:t>
      </w:r>
    </w:p>
    <w:p>
      <w:pPr>
        <w:ind w:left="7340"/>
        <w:spacing w:after="0" w:line="190" w:lineRule="auto"/>
        <w:rPr>
          <w:sz w:val="20"/>
          <w:szCs w:val="20"/>
          <w:color w:val="auto"/>
        </w:rPr>
      </w:pPr>
      <w:r>
        <w:rPr>
          <w:rFonts w:ascii="Arial" w:cs="Arial" w:eastAsia="Arial" w:hAnsi="Arial"/>
          <w:sz w:val="12"/>
          <w:szCs w:val="12"/>
          <w:b w:val="1"/>
          <w:bCs w:val="1"/>
          <w:color w:val="auto"/>
        </w:rPr>
        <w:t>Amount</w:t>
      </w:r>
    </w:p>
    <w:p>
      <w:pPr>
        <w:ind w:left="40"/>
        <w:spacing w:after="0"/>
        <w:rPr>
          <w:sz w:val="20"/>
          <w:szCs w:val="20"/>
          <w:color w:val="auto"/>
        </w:rPr>
      </w:pPr>
      <w:r>
        <w:rPr>
          <w:rFonts w:ascii="Times New Roman" w:cs="Times New Roman" w:eastAsia="Times New Roman" w:hAnsi="Times New Roman"/>
          <w:sz w:val="13"/>
          <w:szCs w:val="13"/>
          <w:color w:val="008000"/>
        </w:rPr>
        <w:t>6. The price reported in Column 4 is a weighted average sale price. These shares were sold in multiple transactions at prices ranging from</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$144.025 per share to $145.00 per share, inclusive.</w:t>
      </w:r>
    </w:p>
    <w:p>
      <w:pPr>
        <w:ind w:left="7340"/>
        <w:spacing w:after="0" w:line="210" w:lineRule="auto"/>
        <w:rPr>
          <w:sz w:val="20"/>
          <w:szCs w:val="20"/>
          <w:color w:val="auto"/>
        </w:rPr>
      </w:pPr>
      <w:r>
        <w:rPr>
          <w:rFonts w:ascii="Arial" w:cs="Arial" w:eastAsia="Arial" w:hAnsi="Arial"/>
          <w:sz w:val="5"/>
          <w:szCs w:val="5"/>
          <w:b w:val="1"/>
          <w:bCs w:val="1"/>
          <w:color w:val="auto"/>
        </w:rPr>
        <w:t>Number</w:t>
      </w:r>
    </w:p>
    <w:p>
      <w:pPr>
        <w:ind w:left="40"/>
        <w:spacing w:after="0" w:line="188" w:lineRule="auto"/>
        <w:rPr>
          <w:sz w:val="20"/>
          <w:szCs w:val="20"/>
          <w:color w:val="auto"/>
        </w:rPr>
      </w:pPr>
      <w:r>
        <w:rPr>
          <w:rFonts w:ascii="Times New Roman" w:cs="Times New Roman" w:eastAsia="Times New Roman" w:hAnsi="Times New Roman"/>
          <w:sz w:val="10"/>
          <w:szCs w:val="10"/>
          <w:color w:val="008000"/>
        </w:rPr>
        <w:t>7. The price reported in Column 4 is a weighted average sale price. These shares were sold in multiple transactions at prices ranging from $145.08 per share to $146.025 per share, inclusive.</w:t>
      </w:r>
    </w:p>
    <w:p>
      <w:pPr>
        <w:ind w:left="5400"/>
        <w:spacing w:after="0" w:line="229" w:lineRule="auto"/>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p>
      <w:pPr>
        <w:ind w:left="180" w:hanging="133"/>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sale price. These</w:t>
      </w:r>
      <w:r>
        <w:rPr>
          <w:rFonts w:ascii="Arial" w:cs="Arial" w:eastAsia="Arial" w:hAnsi="Arial"/>
          <w:sz w:val="10"/>
          <w:szCs w:val="10"/>
          <w:b w:val="1"/>
          <w:bCs w:val="1"/>
          <w:color w:val="000000"/>
        </w:rPr>
        <w:t>Code</w:t>
      </w:r>
      <w:r>
        <w:rPr>
          <w:rFonts w:ascii="Times New Roman" w:cs="Times New Roman" w:eastAsia="Times New Roman" w:hAnsi="Times New Roman"/>
          <w:sz w:val="12"/>
          <w:szCs w:val="12"/>
          <w:color w:val="008000"/>
        </w:rPr>
        <w:t>shares</w:t>
      </w:r>
      <w:r>
        <w:rPr>
          <w:rFonts w:ascii="Arial" w:cs="Arial" w:eastAsia="Arial" w:hAnsi="Arial"/>
          <w:sz w:val="10"/>
          <w:szCs w:val="10"/>
          <w:b w:val="1"/>
          <w:bCs w:val="1"/>
          <w:color w:val="000000"/>
        </w:rPr>
        <w:t>V</w:t>
      </w:r>
      <w:r>
        <w:rPr>
          <w:rFonts w:ascii="Times New Roman" w:cs="Times New Roman" w:eastAsia="Times New Roman" w:hAnsi="Times New Roman"/>
          <w:sz w:val="12"/>
          <w:szCs w:val="12"/>
          <w:color w:val="008000"/>
        </w:rPr>
        <w:t xml:space="preserve"> were sold</w:t>
      </w:r>
      <w:r>
        <w:rPr>
          <w:rFonts w:ascii="Arial" w:cs="Arial" w:eastAsia="Arial" w:hAnsi="Arial"/>
          <w:sz w:val="10"/>
          <w:szCs w:val="10"/>
          <w:b w:val="1"/>
          <w:bCs w:val="1"/>
          <w:color w:val="000000"/>
        </w:rPr>
        <w:t>(A)</w:t>
      </w:r>
      <w:r>
        <w:rPr>
          <w:rFonts w:ascii="Times New Roman" w:cs="Times New Roman" w:eastAsia="Times New Roman" w:hAnsi="Times New Roman"/>
          <w:sz w:val="12"/>
          <w:szCs w:val="12"/>
          <w:color w:val="008000"/>
        </w:rPr>
        <w:t xml:space="preserve"> in </w:t>
      </w:r>
      <w:r>
        <w:rPr>
          <w:rFonts w:ascii="Arial" w:cs="Arial" w:eastAsia="Arial" w:hAnsi="Arial"/>
          <w:sz w:val="10"/>
          <w:szCs w:val="10"/>
          <w:b w:val="1"/>
          <w:bCs w:val="1"/>
          <w:color w:val="000000"/>
        </w:rPr>
        <w:t>(D)</w:t>
      </w:r>
      <w:r>
        <w:rPr>
          <w:rFonts w:ascii="Times New Roman" w:cs="Times New Roman" w:eastAsia="Times New Roman" w:hAnsi="Times New Roman"/>
          <w:sz w:val="12"/>
          <w:szCs w:val="12"/>
          <w:color w:val="008000"/>
        </w:rPr>
        <w:t>multiple</w:t>
      </w:r>
      <w:r>
        <w:rPr>
          <w:rFonts w:ascii="Arial" w:cs="Arial" w:eastAsia="Arial" w:hAnsi="Arial"/>
          <w:sz w:val="10"/>
          <w:szCs w:val="10"/>
          <w:b w:val="1"/>
          <w:bCs w:val="1"/>
          <w:color w:val="000000"/>
        </w:rPr>
        <w:t>Exercisable</w:t>
      </w:r>
      <w:r>
        <w:rPr>
          <w:rFonts w:ascii="Times New Roman" w:cs="Times New Roman" w:eastAsia="Times New Roman" w:hAnsi="Times New Roman"/>
          <w:sz w:val="12"/>
          <w:szCs w:val="12"/>
          <w:color w:val="008000"/>
        </w:rPr>
        <w:t>transactions at</w:t>
      </w:r>
      <w:r>
        <w:rPr>
          <w:rFonts w:ascii="Arial" w:cs="Arial" w:eastAsia="Arial" w:hAnsi="Arial"/>
          <w:sz w:val="10"/>
          <w:szCs w:val="10"/>
          <w:b w:val="1"/>
          <w:bCs w:val="1"/>
          <w:color w:val="000000"/>
        </w:rPr>
        <w:t>Date</w:t>
      </w:r>
      <w:r>
        <w:rPr>
          <w:rFonts w:ascii="Times New Roman" w:cs="Times New Roman" w:eastAsia="Times New Roman" w:hAnsi="Times New Roman"/>
          <w:sz w:val="12"/>
          <w:szCs w:val="12"/>
          <w:color w:val="008000"/>
        </w:rPr>
        <w:t>prices ranging</w:t>
      </w:r>
      <w:r>
        <w:rPr>
          <w:rFonts w:ascii="Arial" w:cs="Arial" w:eastAsia="Arial" w:hAnsi="Arial"/>
          <w:sz w:val="10"/>
          <w:szCs w:val="10"/>
          <w:b w:val="1"/>
          <w:bCs w:val="1"/>
          <w:color w:val="000000"/>
        </w:rPr>
        <w:t>Title</w:t>
      </w:r>
      <w:r>
        <w:rPr>
          <w:rFonts w:ascii="Times New Roman" w:cs="Times New Roman" w:eastAsia="Times New Roman" w:hAnsi="Times New Roman"/>
          <w:sz w:val="12"/>
          <w:szCs w:val="12"/>
          <w:color w:val="008000"/>
        </w:rPr>
        <w:t>from</w:t>
      </w:r>
      <w:r>
        <w:rPr>
          <w:rFonts w:ascii="Arial" w:cs="Arial" w:eastAsia="Arial" w:hAnsi="Arial"/>
          <w:sz w:val="10"/>
          <w:szCs w:val="10"/>
          <w:b w:val="1"/>
          <w:bCs w:val="1"/>
          <w:color w:val="000000"/>
        </w:rPr>
        <w:t>Shares</w:t>
      </w:r>
      <w:r>
        <w:rPr>
          <w:rFonts w:ascii="Times New Roman" w:cs="Times New Roman" w:eastAsia="Times New Roman" w:hAnsi="Times New Roman"/>
          <w:sz w:val="12"/>
          <w:szCs w:val="12"/>
          <w:color w:val="008000"/>
        </w:rPr>
        <w:t>$146.165 per share to $147.08 per share, inclusive.</w:t>
      </w:r>
    </w:p>
    <w:p>
      <w:pPr>
        <w:spacing w:after="0" w:line="47" w:lineRule="exact"/>
        <w:rPr>
          <w:rFonts w:ascii="Times New Roman" w:cs="Times New Roman" w:eastAsia="Times New Roman" w:hAnsi="Times New Roman"/>
          <w:sz w:val="12"/>
          <w:szCs w:val="12"/>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$147.36 per share to $147.51 per share, inclusive.</w:t>
      </w:r>
    </w:p>
    <w:p>
      <w:pPr>
        <w:spacing w:after="0" w:line="5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Stice Investments, Ltd., which is managed by Stice Management, LLC, its general partner. Mr. Stice and his spouse hold 100% of the membership interests in Stice Management, LLC, of which Mr. Stice is the manager.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Teresa L. Dick, as attorney- </w:t>
      </w:r>
      <w:r>
        <w:rPr>
          <w:rFonts w:ascii="Times New Roman" w:cs="Times New Roman" w:eastAsia="Times New Roman" w:hAnsi="Times New Roman"/>
          <w:sz w:val="34"/>
          <w:szCs w:val="34"/>
          <w:color w:val="0000FF"/>
          <w:vertAlign w:val="subscript"/>
        </w:rPr>
        <w:t>08/11/2025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1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9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290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559933" TargetMode="External"/><Relationship Id="rId14" Type="http://schemas.openxmlformats.org/officeDocument/2006/relationships/hyperlink" Target="http://www.sec.gov/cgi-bin/browse-edgar?action=getcompany&amp;CIK=0001539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2025-08-11T15:12:17Z</dcterms:created>
  <dcterms:modified xsi:type="dcterms:W3CDTF">2025-08-11T15:12:17Z</dcterms:modified>
</cp:coreProperties>
</file>