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184150</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224790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6, 2025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203200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DIAMONDBACK ENERGY, INC.</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193040</wp:posOffset>
            </wp:positionV>
            <wp:extent cx="14230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001-35700</w:t>
      </w:r>
    </w:p>
    <w:p>
      <w:pPr>
        <w:spacing w:after="0" w:line="3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45-4502447</w:t>
      </w:r>
    </w:p>
    <w:p>
      <w:pPr>
        <w:spacing w:after="0" w:line="31" w:lineRule="exact"/>
        <w:rPr>
          <w:sz w:val="24"/>
          <w:szCs w:val="24"/>
          <w:color w:val="auto"/>
        </w:rPr>
      </w:pPr>
    </w:p>
    <w:p>
      <w:pPr>
        <w:jc w:val="center"/>
        <w:ind w:right="520"/>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211" w:lineRule="exact"/>
        <w:rPr>
          <w:sz w:val="24"/>
          <w:szCs w:val="24"/>
          <w:color w:val="auto"/>
        </w:rPr>
      </w:pPr>
    </w:p>
    <w:p>
      <w:pPr>
        <w:sectPr>
          <w:pgSz w:w="11900" w:h="16838" w:orient="portrait"/>
          <w:cols w:equalWidth="0" w:num="3">
            <w:col w:w="3980" w:space="720"/>
            <w:col w:w="2680" w:space="720"/>
            <w:col w:w="3140"/>
          </w:cols>
          <w:pgMar w:left="320" w:top="516"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500 West Texas Ave.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Suite 100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Midland, Texas 79701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(432) 221-7400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439"/>
        </w:trPr>
        <w:tc>
          <w:tcPr>
            <w:tcW w:w="4540" w:type="dxa"/>
            <w:vAlign w:val="bottom"/>
            <w:gridSpan w:val="3"/>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78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120" w:type="dxa"/>
            <w:vAlign w:val="bottom"/>
          </w:tcPr>
          <w:p>
            <w:pPr>
              <w:spacing w:after="0"/>
              <w:rPr>
                <w:sz w:val="24"/>
                <w:szCs w:val="24"/>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8"/>
        </w:trPr>
        <w:tc>
          <w:tcPr>
            <w:tcW w:w="38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780" w:type="dxa"/>
            <w:vAlign w:val="bottom"/>
            <w:tcBorders>
              <w:top w:val="single" w:sz="8" w:color="auto"/>
            </w:tcBorders>
          </w:tcPr>
          <w:p>
            <w:pPr>
              <w:jc w:val="center"/>
              <w:ind w:right="490"/>
              <w:spacing w:after="0" w:line="198" w:lineRule="exact"/>
              <w:rPr>
                <w:sz w:val="20"/>
                <w:szCs w:val="20"/>
                <w:color w:val="auto"/>
              </w:rPr>
            </w:pPr>
            <w:r>
              <w:rPr>
                <w:rFonts w:ascii="Times New Roman" w:cs="Times New Roman" w:eastAsia="Times New Roman" w:hAnsi="Times New Roman"/>
                <w:sz w:val="18"/>
                <w:szCs w:val="18"/>
                <w:color w:val="auto"/>
                <w:w w:val="97"/>
              </w:rPr>
              <w:t>FANG</w:t>
            </w:r>
          </w:p>
        </w:tc>
        <w:tc>
          <w:tcPr>
            <w:tcW w:w="120" w:type="dxa"/>
            <w:vAlign w:val="bottom"/>
          </w:tcPr>
          <w:p>
            <w:pPr>
              <w:spacing w:after="0"/>
              <w:rPr>
                <w:sz w:val="17"/>
                <w:szCs w:val="17"/>
                <w:color w:val="auto"/>
              </w:rPr>
            </w:pPr>
          </w:p>
        </w:tc>
        <w:tc>
          <w:tcPr>
            <w:tcW w:w="38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3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98"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62"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9" w:lineRule="exact"/>
        <w:rPr>
          <w:rFonts w:ascii="MS PGothic" w:cs="MS PGothic" w:eastAsia="MS PGothic" w:hAnsi="MS PGothic"/>
          <w:sz w:val="18"/>
          <w:szCs w:val="18"/>
          <w:color w:val="auto"/>
        </w:rPr>
      </w:pPr>
    </w:p>
    <w:p>
      <w:pPr>
        <w:ind w:left="340" w:right="180" w:hanging="332"/>
        <w:spacing w:after="0" w:line="258" w:lineRule="auto"/>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March 6, 2025, Diamondback Energy, Inc. (the “Company”), entered into an Underwriting Agreement (the “Underwriting Agreement”), by and among the Company, as the issuer, Diamondback E&amp;P LLC, as the subsidiary guarantor (“E&amp;P”), and BofA Securities, Inc., Barclays Capital Inc., PNC Capital Markets LLC and TD Securities (USA) LLC, as representatives of the several underwriters named therein (collectively, the “Underwriters”), providing for the issuance and sale of $1,200,000,000 aggregate principal amount of its 5.550% Senior Notes due 2035 (the “Notes”). The price to the public was 99.937% of the principal amount of the Notes.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Notes and E&amp;P’s guarantee thereof have been registered under the Securities Act of 1933, as amended (the “Act”), pursuant to a registration statement on Form S-3 (No. 333-268495), filed with the Securities and Exchange Commission (the “SEC”) and automatically effective on November 21, 2022. The terms of the Notes are further described in the Company’s prospectus supplement dated March 6, 2025, as filed with the SEC on March 10, 2025 (the “Prospectus”). The closing of the sale of the Notes is expected to occur on March 20, 2025, subject to customary closing conditions.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Notes and E&amp;P’s guarantee thereof will be the Company’s and E&amp;P’s respective senior unsecured obligations and will rank equally in right of payment with all of the Company’s and E&amp;P’s respective existing and future senior indebtedness, including the Company’s outstanding senior notes and E&amp;P’s guarantees thereof and all of E&amp;P’s obligations under its revolving credit facility with Wells Fargo Bank, National Association, as administrative agent (the “revolving credit facility”) and under its term loan facility with Citibank, N.A., as administrative agent (the “term loan facility”) and the respective lenders party thereto and the Company’s guarantees thereof, and senior in right of payment to any of the Company’s and E&amp;P’s future indebtedness that is expressly subordinated in right of payment to the Notes and E&amp;P’s guarantees thereof, respectively.</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net proceeds from the sale of the Notes, after deducting the Underwriters’ discounts and estimated offering expenses, are expected to be approximately $1.19 billion. The Company intends to use these net proceeds for general corporate purposes, including, without limitation, paying a portion of the cash consideration for the pending acquisition of certain subsidiaries of Double Eagle IV Midco, LLC (the “Double Eagle acquisition”) and paying fees, costs and expenses related thereto.</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Underwriting Agreement includes customary representations, warranties and covenants by the Company. It also provides for customary indemnification by each of the Company and the respective Underwriters against certain liabilities arising out of or in connection with sale of the Notes and for customary contribution provisions in respect of those liabilities.</w:t>
      </w:r>
    </w:p>
    <w:p>
      <w:pPr>
        <w:spacing w:after="0" w:line="17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more fully described under the caption “</w:t>
      </w:r>
      <w:r>
        <w:rPr>
          <w:rFonts w:ascii="Times New Roman" w:cs="Times New Roman" w:eastAsia="Times New Roman" w:hAnsi="Times New Roman"/>
          <w:sz w:val="18"/>
          <w:szCs w:val="18"/>
          <w:i w:val="1"/>
          <w:iCs w:val="1"/>
          <w:color w:val="auto"/>
        </w:rPr>
        <w:t>Underwriting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Other Relationships</w:t>
      </w:r>
      <w:r>
        <w:rPr>
          <w:rFonts w:ascii="Times New Roman" w:cs="Times New Roman" w:eastAsia="Times New Roman" w:hAnsi="Times New Roman"/>
          <w:sz w:val="18"/>
          <w:szCs w:val="18"/>
          <w:color w:val="auto"/>
        </w:rPr>
        <w:t>” in the Prospectus, some of the Underwriters and their affiliates have engaged in, and may in the future engage in, investment banking and other commercial dealings in the ordinary course of business with the Company or its affiliates. They have received, or may in the future receive, customary fees and commissions for these transactions. Specifically, certain Underwriters and/or their affiliates serve in various roles under the revolving credit facility and term loan facility and may serve in various roles under the proposed term loan facility with BofA Securities, Inc. and Bank of America, N.A. (if obtained and funded in connection with the Double Eagle acquisition).</w:t>
      </w:r>
    </w:p>
    <w:p>
      <w:pPr>
        <w:spacing w:after="0" w:line="18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Underwriting Agreement is not complete and is qualified in its entirety by reference to the full text of the Underwriting Agreement, which is filed as Exhibit 1.1 to this Current Report on Form 8-K and incorporated in this Item 1.01 by reference.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Press Release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On March 6, 2025, the Company issued a press release announcing the pricing of the offering of the Notes. A copy of the press release is attached hereto as Exhibit 99.1 to this Current Report on Form 8-K and incorporated in this Item 8.01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both"/>
        <w:ind w:left="1260" w:right="260" w:hanging="786"/>
        <w:spacing w:after="0" w:line="266" w:lineRule="auto"/>
        <w:tabs>
          <w:tab w:leader="none" w:pos="1240" w:val="left"/>
        </w:tabs>
        <w:rPr>
          <w:sz w:val="20"/>
          <w:szCs w:val="20"/>
          <w:color w:val="auto"/>
        </w:rPr>
      </w:pPr>
      <w:r>
        <w:rPr>
          <w:rFonts w:ascii="Times New Roman" w:cs="Times New Roman" w:eastAsia="Times New Roman" w:hAnsi="Times New Roman"/>
          <w:sz w:val="18"/>
          <w:szCs w:val="18"/>
          <w:u w:val="single" w:color="auto"/>
          <w:color w:val="0000EE"/>
        </w:rPr>
        <w:t>1.1</w:t>
      </w:r>
      <w:r>
        <w:rPr>
          <w:sz w:val="20"/>
          <w:szCs w:val="20"/>
          <w:color w:val="auto"/>
        </w:rPr>
        <w:tab/>
      </w:r>
      <w:r>
        <w:rPr>
          <w:rFonts w:ascii="Times New Roman" w:cs="Times New Roman" w:eastAsia="Times New Roman" w:hAnsi="Times New Roman"/>
          <w:sz w:val="18"/>
          <w:szCs w:val="18"/>
          <w:color w:val="auto"/>
        </w:rPr>
        <w:t>Underwriting Agreement, dated March 6, 2025, among Diamondback Energy, Inc., Diamondback E&amp;P LLC and BofA Securities, Inc., Barclays Capital Inc., PNC Capital Markets LLC and TD Securities (USA) LLC, as representatives of the several underwriters named therein.</w:t>
      </w:r>
    </w:p>
    <w:p>
      <w:pPr>
        <w:spacing w:after="0" w:line="176" w:lineRule="exact"/>
        <w:rPr>
          <w:sz w:val="20"/>
          <w:szCs w:val="20"/>
          <w:color w:val="auto"/>
        </w:rPr>
      </w:pPr>
    </w:p>
    <w:p>
      <w:pPr>
        <w:ind w:left="420"/>
        <w:spacing w:after="0"/>
        <w:tabs>
          <w:tab w:leader="none" w:pos="124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color w:val="auto"/>
        </w:rPr>
        <w:t>Press Release dated March 6, 2025</w:t>
      </w:r>
    </w:p>
    <w:p>
      <w:pPr>
        <w:spacing w:after="0" w:line="225" w:lineRule="exact"/>
        <w:rPr>
          <w:sz w:val="20"/>
          <w:szCs w:val="20"/>
          <w:color w:val="auto"/>
        </w:rPr>
      </w:pPr>
    </w:p>
    <w:p>
      <w:pPr>
        <w:ind w:left="440"/>
        <w:spacing w:after="0"/>
        <w:tabs>
          <w:tab w:leader="none" w:pos="12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federal securities laws, including those relating to the expected timing of the closing of the sale of the Notes. All statements, other than historical facts, that address activities that the Company assumes, plans, expects, believes, intends or anticipates (and other similar expressions) will, should or may occur in the future are forward-looking statements. The forward-looking statements are based on management’s current beliefs, based on currently available information, as to the outcome and timing of future events. These forward-looking statements involve certain risks and uncertainties that could cause the results to differ materially from those expected by the management of the Company. Information concerning these risks and other factors can be found in the Company’s filings with the Securities and Exchange Commission, including its Forms 10-K, 10-Q, 8-K, the preliminary prospectus supplement filed by the Company for the Notes offering and any amendments or supplements thereto, which can be obtained free of charge on the Securities and Exchange Commission’s web site at http://www.sec.gov. The Company undertakes no obligation to update or revise any forward-looking statement.</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40" w:type="dxa"/>
            <w:vAlign w:val="bottom"/>
          </w:tcPr>
          <w:p>
            <w:pPr>
              <w:spacing w:after="0"/>
              <w:rPr>
                <w:sz w:val="19"/>
                <w:szCs w:val="19"/>
                <w:color w:val="auto"/>
              </w:rPr>
            </w:pPr>
          </w:p>
        </w:tc>
        <w:tc>
          <w:tcPr>
            <w:tcW w:w="7600" w:type="dxa"/>
            <w:vAlign w:val="bottom"/>
            <w:gridSpan w:val="2"/>
          </w:tcPr>
          <w:p>
            <w:pPr>
              <w:ind w:left="2000"/>
              <w:spacing w:after="0"/>
              <w:rPr>
                <w:sz w:val="20"/>
                <w:szCs w:val="20"/>
                <w:color w:val="auto"/>
              </w:rPr>
            </w:pPr>
            <w:r>
              <w:rPr>
                <w:rFonts w:ascii="Times New Roman" w:cs="Times New Roman" w:eastAsia="Times New Roman" w:hAnsi="Times New Roman"/>
                <w:sz w:val="18"/>
                <w:szCs w:val="18"/>
                <w:b w:val="1"/>
                <w:bCs w:val="1"/>
                <w:color w:val="auto"/>
              </w:rPr>
              <w:t>DIAMONDBACK ENERGY, INC.</w:t>
            </w:r>
          </w:p>
        </w:tc>
      </w:tr>
      <w:tr>
        <w:trPr>
          <w:trHeight w:val="241"/>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March 10, 2025</w:t>
            </w:r>
          </w:p>
        </w:tc>
        <w:tc>
          <w:tcPr>
            <w:tcW w:w="25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Jere Thompson</w:t>
            </w:r>
          </w:p>
        </w:tc>
      </w:tr>
      <w:tr>
        <w:trPr>
          <w:trHeight w:val="198"/>
        </w:trPr>
        <w:tc>
          <w:tcPr>
            <w:tcW w:w="3640" w:type="dxa"/>
            <w:vAlign w:val="bottom"/>
          </w:tcPr>
          <w:p>
            <w:pPr>
              <w:spacing w:after="0"/>
              <w:rPr>
                <w:sz w:val="17"/>
                <w:szCs w:val="17"/>
                <w:color w:val="auto"/>
              </w:rPr>
            </w:pPr>
          </w:p>
        </w:tc>
        <w:tc>
          <w:tcPr>
            <w:tcW w:w="2560" w:type="dxa"/>
            <w:vAlign w:val="bottom"/>
          </w:tcPr>
          <w:p>
            <w:pPr>
              <w:ind w:left="200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Jere Thompson</w:t>
            </w:r>
          </w:p>
        </w:tc>
      </w:tr>
      <w:tr>
        <w:trPr>
          <w:trHeight w:val="234"/>
        </w:trPr>
        <w:tc>
          <w:tcPr>
            <w:tcW w:w="3640" w:type="dxa"/>
            <w:vAlign w:val="bottom"/>
          </w:tcPr>
          <w:p>
            <w:pPr>
              <w:spacing w:after="0"/>
              <w:rPr>
                <w:sz w:val="20"/>
                <w:szCs w:val="20"/>
                <w:color w:val="auto"/>
              </w:rPr>
            </w:pPr>
          </w:p>
        </w:tc>
        <w:tc>
          <w:tcPr>
            <w:tcW w:w="256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318"/>
        </w:trPr>
        <w:tc>
          <w:tcPr>
            <w:tcW w:w="36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DIAMONDBACK ENERGY,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$1,200,000,000 5.550% Senior Notes due 2035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UNDERWRITING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March 6,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PNC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TD Securities (USA)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As Representatives of the several Underwriters named in </w:t>
      </w:r>
      <w:r>
        <w:rPr>
          <w:rFonts w:ascii="Times New Roman" w:cs="Times New Roman" w:eastAsia="Times New Roman" w:hAnsi="Times New Roman"/>
          <w:sz w:val="18"/>
          <w:szCs w:val="18"/>
          <w:i w:val="1"/>
          <w:iCs w:val="1"/>
          <w:u w:val="single" w:color="auto"/>
          <w:color w:val="auto"/>
        </w:rPr>
        <w:t>Schedule 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Barclays Capital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PNC Capital Markets LLC</w:t>
      </w:r>
    </w:p>
    <w:p>
      <w:pPr>
        <w:spacing w:after="0" w:line="182" w:lineRule="auto"/>
        <w:rPr>
          <w:sz w:val="20"/>
          <w:szCs w:val="20"/>
          <w:color w:val="auto"/>
        </w:rPr>
      </w:pPr>
      <w:r>
        <w:rPr>
          <w:rFonts w:ascii="Times New Roman" w:cs="Times New Roman" w:eastAsia="Times New Roman" w:hAnsi="Times New Roman"/>
          <w:sz w:val="17"/>
          <w:szCs w:val="17"/>
          <w:color w:val="auto"/>
        </w:rPr>
        <w:t>300 Fifth Avenue,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Pittsburgh, Pennsylvania 15222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TD Securities (USA)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Vanderbilt Avenue, 11th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addressees set forth above:</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Introductory. </w:t>
      </w:r>
      <w:r>
        <w:rPr>
          <w:rFonts w:ascii="Times New Roman" w:cs="Times New Roman" w:eastAsia="Times New Roman" w:hAnsi="Times New Roman"/>
          <w:sz w:val="18"/>
          <w:szCs w:val="18"/>
          <w:color w:val="auto"/>
        </w:rPr>
        <w:t>Diamondback Energy,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agrees with the several underwriters named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hereto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for whom you are acting as the representatives (the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subject to the terms and conditions stated herein, to issue and sell to the several Underwriters U.S. $1,200,000,000 aggregate principal amount of its 5.550% Senior Notes due 2035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The Notes will be issued pursuant to an Indenture dated as of December 13, 2022 (the “</w:t>
      </w:r>
      <w:r>
        <w:rPr>
          <w:rFonts w:ascii="Times New Roman" w:cs="Times New Roman" w:eastAsia="Times New Roman" w:hAnsi="Times New Roman"/>
          <w:sz w:val="18"/>
          <w:szCs w:val="18"/>
          <w:b w:val="1"/>
          <w:bCs w:val="1"/>
          <w:color w:val="auto"/>
        </w:rPr>
        <w:t>Base Indenture</w:t>
      </w:r>
      <w:r>
        <w:rPr>
          <w:rFonts w:ascii="Times New Roman" w:cs="Times New Roman" w:eastAsia="Times New Roman" w:hAnsi="Times New Roman"/>
          <w:sz w:val="18"/>
          <w:szCs w:val="18"/>
          <w:color w:val="auto"/>
        </w:rPr>
        <w:t>”), between the Company and Computershare Trust Company, National Association,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as supplemented by a supplemental indenture to be dated as of March 20, 2025 (the “</w:t>
      </w:r>
      <w:r>
        <w:rPr>
          <w:rFonts w:ascii="Times New Roman" w:cs="Times New Roman" w:eastAsia="Times New Roman" w:hAnsi="Times New Roman"/>
          <w:sz w:val="18"/>
          <w:szCs w:val="18"/>
          <w:b w:val="1"/>
          <w:bCs w:val="1"/>
          <w:color w:val="auto"/>
        </w:rPr>
        <w:t>Supplemental Indenture</w:t>
      </w:r>
      <w:r>
        <w:rPr>
          <w:rFonts w:ascii="Times New Roman" w:cs="Times New Roman" w:eastAsia="Times New Roman" w:hAnsi="Times New Roman"/>
          <w:sz w:val="18"/>
          <w:szCs w:val="18"/>
          <w:color w:val="auto"/>
        </w:rPr>
        <w:t>,” and together with the Base Indenture,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The Notes will be guaranteed (the “</w:t>
      </w:r>
      <w:r>
        <w:rPr>
          <w:rFonts w:ascii="Times New Roman" w:cs="Times New Roman" w:eastAsia="Times New Roman" w:hAnsi="Times New Roman"/>
          <w:sz w:val="18"/>
          <w:szCs w:val="18"/>
          <w:b w:val="1"/>
          <w:bCs w:val="1"/>
          <w:color w:val="auto"/>
        </w:rPr>
        <w:t>Guarantee</w:t>
      </w:r>
      <w:r>
        <w:rPr>
          <w:rFonts w:ascii="Times New Roman" w:cs="Times New Roman" w:eastAsia="Times New Roman" w:hAnsi="Times New Roman"/>
          <w:sz w:val="18"/>
          <w:szCs w:val="18"/>
          <w:color w:val="auto"/>
        </w:rPr>
        <w:t>” and, together with the Notes, the “</w:t>
      </w:r>
      <w:r>
        <w:rPr>
          <w:rFonts w:ascii="Times New Roman" w:cs="Times New Roman" w:eastAsia="Times New Roman" w:hAnsi="Times New Roman"/>
          <w:sz w:val="18"/>
          <w:szCs w:val="18"/>
          <w:b w:val="1"/>
          <w:bCs w:val="1"/>
          <w:color w:val="auto"/>
        </w:rPr>
        <w:t>Offered Securities</w:t>
      </w:r>
      <w:r>
        <w:rPr>
          <w:rFonts w:ascii="Times New Roman" w:cs="Times New Roman" w:eastAsia="Times New Roman" w:hAnsi="Times New Roman"/>
          <w:sz w:val="18"/>
          <w:szCs w:val="18"/>
          <w:color w:val="auto"/>
        </w:rPr>
        <w:t>”) by Diamondback E&amp;P LLC (the “</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Offered Securities are being issued in part to fund, if consummated, a portion of the cash consideration in the acquisition of all of the issued and outstanding interests of DE Permian, LLC, a Texas limited liability company, DE IV Combo, LLC, a Delaware limited liability company, and DE IV Operating, LLC, a Texas limited liability company, each of which is a wholly owned subsidiary of Double Eagle IV Midco, LLC, a Delaware limited liability company (“</w:t>
      </w:r>
      <w:r>
        <w:rPr>
          <w:rFonts w:ascii="Times New Roman" w:cs="Times New Roman" w:eastAsia="Times New Roman" w:hAnsi="Times New Roman"/>
          <w:sz w:val="18"/>
          <w:szCs w:val="18"/>
          <w:b w:val="1"/>
          <w:bCs w:val="1"/>
          <w:color w:val="auto"/>
        </w:rPr>
        <w:t>Double Eagle</w:t>
      </w:r>
      <w:r>
        <w:rPr>
          <w:rFonts w:ascii="Times New Roman" w:cs="Times New Roman" w:eastAsia="Times New Roman" w:hAnsi="Times New Roman"/>
          <w:sz w:val="18"/>
          <w:szCs w:val="18"/>
          <w:color w:val="auto"/>
        </w:rPr>
        <w:t>”), pursuant to that certain Securities Purchase Agreement, by and among the Company, Diamondback E&amp;P LLC and Double Eagle, dated as of February 14,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 w:name="page6"/>
    <w:bookmarkEnd w:id="5"/>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Reference is made herein to the Company’s recent acquisition of Endeavor Parent, LLC (“</w:t>
      </w:r>
      <w:r>
        <w:rPr>
          <w:rFonts w:ascii="Times New Roman" w:cs="Times New Roman" w:eastAsia="Times New Roman" w:hAnsi="Times New Roman"/>
          <w:sz w:val="18"/>
          <w:szCs w:val="18"/>
          <w:b w:val="1"/>
          <w:bCs w:val="1"/>
          <w:color w:val="auto"/>
        </w:rPr>
        <w:t>Endeavor</w:t>
      </w:r>
      <w:r>
        <w:rPr>
          <w:rFonts w:ascii="Times New Roman" w:cs="Times New Roman" w:eastAsia="Times New Roman" w:hAnsi="Times New Roman"/>
          <w:sz w:val="18"/>
          <w:szCs w:val="18"/>
          <w:color w:val="auto"/>
        </w:rPr>
        <w:t>”) and its wholly owned subsidiaries, pursuant to that certain Agreement and Plan of Merger, by and among the Company, Eclipse Merger Sub I, LLC, Eclipse Merger Sub II, LLC, Endeavor Manager, LLC (solely for purposes of certain sections set forth therein), and Endeavor Parent, LLC, dated as of February 11, 2024 and amended on March 18, 2024.</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and the Guarantor hereby jointly and severally confirm their agreement with the several Underwriters as follows:</w:t>
      </w:r>
    </w:p>
    <w:p>
      <w:pPr>
        <w:spacing w:after="0" w:line="223" w:lineRule="exact"/>
        <w:rPr>
          <w:sz w:val="20"/>
          <w:szCs w:val="20"/>
          <w:color w:val="auto"/>
        </w:rPr>
      </w:pPr>
    </w:p>
    <w:p>
      <w:pPr>
        <w:ind w:firstLine="656"/>
        <w:spacing w:after="0" w:line="284" w:lineRule="auto"/>
        <w:tabs>
          <w:tab w:leader="none" w:pos="140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Representations and Warranties of the Company and the Guarantor. </w:t>
      </w:r>
      <w:r>
        <w:rPr>
          <w:rFonts w:ascii="Times New Roman" w:cs="Times New Roman" w:eastAsia="Times New Roman" w:hAnsi="Times New Roman"/>
          <w:sz w:val="18"/>
          <w:szCs w:val="18"/>
          <w:color w:val="auto"/>
        </w:rPr>
        <w:t>Each of the Company and the Guarantor jointly and severally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represents and warrants to, and agrees with, the several Underwriters that, as of the Applicable Time and as of the Closing Date (each as defined below):</w:t>
      </w:r>
    </w:p>
    <w:p>
      <w:pPr>
        <w:spacing w:after="0" w:line="158"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9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Filing and Effectiveness of Registration Statement; Certain Defined Terms</w:t>
      </w:r>
      <w:r>
        <w:rPr>
          <w:rFonts w:ascii="Times New Roman" w:cs="Times New Roman" w:eastAsia="Times New Roman" w:hAnsi="Times New Roman"/>
          <w:sz w:val="18"/>
          <w:szCs w:val="18"/>
          <w:color w:val="auto"/>
        </w:rPr>
        <w:t>. The Company has filed with the Commission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statement on Form S-3 (No. 333-268495) and a related prospectus or prospectuses, covering the registration of the Offered Securities under the Act, which has become effective.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at any particular time means such registration statement in the form then filed with the Commission, including any amendment thereto, any document incorporated by reference therein and all 430B Information and all 430C Information with respect to such registration statement, that in any case has not been superseded or modified.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without reference to a time means the Registration Statement as of the Applicable Time. For purposes of this definition, 430B Information shall be considered to be included in the Registration Statement as of the time specified in Rule 430B.</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this Agreement:</w:t>
      </w:r>
    </w:p>
    <w:p>
      <w:pPr>
        <w:spacing w:after="0" w:line="221"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430B Information</w:t>
      </w:r>
      <w:r>
        <w:rPr>
          <w:rFonts w:ascii="Times New Roman" w:cs="Times New Roman" w:eastAsia="Times New Roman" w:hAnsi="Times New Roman"/>
          <w:sz w:val="18"/>
          <w:szCs w:val="18"/>
          <w:color w:val="auto"/>
        </w:rPr>
        <w:t>” means information included in a prospectus then deemed to be a part of the Registration Statement pursuant to Rule 430B(e) or retroactively deemed to be a part of the Registration Statement pursuant to Rule 430B(f).</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430C Information</w:t>
      </w:r>
      <w:r>
        <w:rPr>
          <w:rFonts w:ascii="Times New Roman" w:cs="Times New Roman" w:eastAsia="Times New Roman" w:hAnsi="Times New Roman"/>
          <w:sz w:val="18"/>
          <w:szCs w:val="18"/>
          <w:color w:val="auto"/>
        </w:rPr>
        <w:t>” means information included in a prospectus then deemed to be a part of the Registration Statement pursuant to Rule 430C.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Time</w:t>
      </w:r>
      <w:r>
        <w:rPr>
          <w:rFonts w:ascii="Times New Roman" w:cs="Times New Roman" w:eastAsia="Times New Roman" w:hAnsi="Times New Roman"/>
          <w:sz w:val="18"/>
          <w:szCs w:val="18"/>
          <w:color w:val="auto"/>
        </w:rPr>
        <w:t>” means 2:45 p.m. (New York City time) on the date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Final Prospectus</w:t>
      </w:r>
      <w:r>
        <w:rPr>
          <w:rFonts w:ascii="Times New Roman" w:cs="Times New Roman" w:eastAsia="Times New Roman" w:hAnsi="Times New Roman"/>
          <w:sz w:val="18"/>
          <w:szCs w:val="18"/>
          <w:color w:val="auto"/>
        </w:rPr>
        <w:t>” means the Statutory Prospectus that discloses the public offering price, other 430B Information and other final terms of the Offered Securities and otherwise satisfies Section 10(a) of the Act.</w:t>
      </w:r>
    </w:p>
    <w:p>
      <w:pPr>
        <w:spacing w:after="0" w:line="155"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General Use Issuer Free Writing Prospectus</w:t>
      </w:r>
      <w:r>
        <w:rPr>
          <w:rFonts w:ascii="Times New Roman" w:cs="Times New Roman" w:eastAsia="Times New Roman" w:hAnsi="Times New Roman"/>
          <w:sz w:val="18"/>
          <w:szCs w:val="18"/>
          <w:color w:val="auto"/>
        </w:rPr>
        <w:t xml:space="preserve">” means any Issuer Free Writing Prospectus that is intended for general distribution to prospective investors, as evidenced by its being so specified in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to this Agreement.</w:t>
      </w:r>
    </w:p>
    <w:p>
      <w:pPr>
        <w:spacing w:after="0" w:line="155"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Issuer Free Writing Prospectus</w:t>
      </w:r>
      <w:r>
        <w:rPr>
          <w:rFonts w:ascii="Times New Roman" w:cs="Times New Roman" w:eastAsia="Times New Roman" w:hAnsi="Times New Roman"/>
          <w:sz w:val="18"/>
          <w:szCs w:val="18"/>
          <w:color w:val="auto"/>
        </w:rPr>
        <w:t>” means any “issuer free writing prospectus,” as defined in Rule 433, relating to the Offered Securities in the form filed or required to be filed with the Commission or, if not required to be filed, in the form retained in the Company’s records pursuant to Rule 433(g).</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Limited Use Issuer Free Writing Prospectus</w:t>
      </w:r>
      <w:r>
        <w:rPr>
          <w:rFonts w:ascii="Times New Roman" w:cs="Times New Roman" w:eastAsia="Times New Roman" w:hAnsi="Times New Roman"/>
          <w:sz w:val="18"/>
          <w:szCs w:val="18"/>
          <w:color w:val="auto"/>
        </w:rPr>
        <w:t>” means any Issuer Free Writing Prospectus that is not a General Use Issuer Free Writing Prospectus.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Rules and Regulations</w:t>
      </w:r>
      <w:r>
        <w:rPr>
          <w:rFonts w:ascii="Times New Roman" w:cs="Times New Roman" w:eastAsia="Times New Roman" w:hAnsi="Times New Roman"/>
          <w:sz w:val="18"/>
          <w:szCs w:val="18"/>
          <w:color w:val="auto"/>
        </w:rPr>
        <w:t>” means the rules and regulations of the Commission.</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Laws</w:t>
      </w:r>
      <w:r>
        <w:rPr>
          <w:rFonts w:ascii="Times New Roman" w:cs="Times New Roman" w:eastAsia="Times New Roman" w:hAnsi="Times New Roman"/>
          <w:sz w:val="18"/>
          <w:szCs w:val="18"/>
          <w:color w:val="auto"/>
        </w:rPr>
        <w:t>” means, collectively, the Sarbanes-Oxley Act of 2002, as amended (“</w:t>
      </w:r>
      <w:r>
        <w:rPr>
          <w:rFonts w:ascii="Times New Roman" w:cs="Times New Roman" w:eastAsia="Times New Roman" w:hAnsi="Times New Roman"/>
          <w:sz w:val="18"/>
          <w:szCs w:val="18"/>
          <w:b w:val="1"/>
          <w:bCs w:val="1"/>
          <w:color w:val="auto"/>
        </w:rPr>
        <w:t>Sarbanes-Oxley</w:t>
      </w:r>
      <w:r>
        <w:rPr>
          <w:rFonts w:ascii="Times New Roman" w:cs="Times New Roman" w:eastAsia="Times New Roman" w:hAnsi="Times New Roman"/>
          <w:sz w:val="18"/>
          <w:szCs w:val="18"/>
          <w:color w:val="auto"/>
        </w:rPr>
        <w:t>”), the Act, the Exchange Act, the Rules and Regulations, the auditing principles, rules, standards and practices applicable to auditors of “issuers” (as defined in Sarbanes-Oxley) promulgated or approved by the Public Company Accounting Oversight Board (the “</w:t>
      </w:r>
      <w:r>
        <w:rPr>
          <w:rFonts w:ascii="Times New Roman" w:cs="Times New Roman" w:eastAsia="Times New Roman" w:hAnsi="Times New Roman"/>
          <w:sz w:val="18"/>
          <w:szCs w:val="18"/>
          <w:b w:val="1"/>
          <w:bCs w:val="1"/>
          <w:color w:val="auto"/>
        </w:rPr>
        <w:t>PCAOB</w:t>
      </w:r>
      <w:r>
        <w:rPr>
          <w:rFonts w:ascii="Times New Roman" w:cs="Times New Roman" w:eastAsia="Times New Roman" w:hAnsi="Times New Roman"/>
          <w:sz w:val="18"/>
          <w:szCs w:val="18"/>
          <w:color w:val="auto"/>
        </w:rPr>
        <w:t>”) and, as applicable, the rules of the NASDAQ Global Select Market (“</w:t>
      </w:r>
      <w:r>
        <w:rPr>
          <w:rFonts w:ascii="Times New Roman" w:cs="Times New Roman" w:eastAsia="Times New Roman" w:hAnsi="Times New Roman"/>
          <w:sz w:val="18"/>
          <w:szCs w:val="18"/>
          <w:b w:val="1"/>
          <w:bCs w:val="1"/>
          <w:color w:val="auto"/>
        </w:rPr>
        <w:t>Exchange Rules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Statutory Prospectus</w:t>
      </w:r>
      <w:r>
        <w:rPr>
          <w:rFonts w:ascii="Times New Roman" w:cs="Times New Roman" w:eastAsia="Times New Roman" w:hAnsi="Times New Roman"/>
          <w:sz w:val="18"/>
          <w:szCs w:val="18"/>
          <w:color w:val="auto"/>
        </w:rPr>
        <w:t>” with reference to any particular time means the prospectus relating to the Offered Securities that is included in the Registration Statement immediately prior to that time, including any document incorporated by reference therein and all 430B Information and all 430C Information with respect to the Registration Statement. For purposes of the foregoing definition, 430B Information shall be considered to be included in the Statutory Prospectus only as of the actual time that form of prospectus (including a prospectus supplement) is filed with the Commission pursuant to Rule 424(b) and not retroactively.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specified, a reference to a “rule” is to the indicated rule under the Act.</w:t>
      </w:r>
    </w:p>
    <w:p>
      <w:pPr>
        <w:spacing w:after="0" w:line="223" w:lineRule="exact"/>
        <w:rPr>
          <w:sz w:val="20"/>
          <w:szCs w:val="20"/>
          <w:color w:val="auto"/>
        </w:rPr>
      </w:pPr>
    </w:p>
    <w:p>
      <w:pPr>
        <w:jc w:val="both"/>
        <w:ind w:firstLine="644"/>
        <w:spacing w:after="0" w:line="253" w:lineRule="auto"/>
        <w:tabs>
          <w:tab w:leader="none" w:pos="113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Compliance with the Requirements of the Act. </w:t>
      </w:r>
      <w:r>
        <w:rPr>
          <w:rFonts w:ascii="Times New Roman" w:cs="Times New Roman" w:eastAsia="Times New Roman" w:hAnsi="Times New Roman"/>
          <w:sz w:val="18"/>
          <w:szCs w:val="18"/>
          <w:color w:val="auto"/>
        </w:rPr>
        <w:t>(i)(A) At the time the Registration Statement initially became effective, (B)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time of each amendment thereto for the purposes of complying with Section 10(a)(3) of the Act (whether by post-effective amendment, incorporated report or form of prospectus), (C) at the Applicable Time and (D) on the Closing Date, the Registration Statement conformed, and will conform, in all material respects to the requirements of the Act and the Rules and Regulations with respect thereto and did not and will not include any untrue statement of a material fact or omit to state any material fact required to be stated therein or necessary to make the statements therein not misleading and (ii) (A) on its date, (B) at the time of filing the Final Prospectus pursuant to Rule 424(b) and (C) on the Closing Date, the Final Prospectus will conform in all material respects to the requirements of the Act and the Rules and Regulations with respect thereto, and will not include any untrue statement of a material fact or omit to state any material fact required to be stated therein or necessary to make the statements therein, in the light of the circumstances under which they were made, not misleading. The preceding sentence does not apply to statements in or omissions from any such document based upon written information furnished to the Company by any Underwriter through the Representatives specifically for use therein, it being understood and agreed that the only such information is that described as such in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hereof or to those parts of the Registration Statement which constitute the Trustee’s Statement of Eligibility and Qualification on Form T-1 under the Trust Indenture Act of 1939, as amended (the “</w:t>
      </w:r>
      <w:r>
        <w:rPr>
          <w:rFonts w:ascii="Times New Roman" w:cs="Times New Roman" w:eastAsia="Times New Roman" w:hAnsi="Times New Roman"/>
          <w:sz w:val="18"/>
          <w:szCs w:val="18"/>
          <w:b w:val="1"/>
          <w:bCs w:val="1"/>
          <w:color w:val="auto"/>
        </w:rPr>
        <w:t>Trust Indenture Act</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firstLine="644"/>
        <w:spacing w:after="0" w:line="284" w:lineRule="auto"/>
        <w:tabs>
          <w:tab w:leader="none" w:pos="111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Filing Fees</w:t>
      </w:r>
      <w:r>
        <w:rPr>
          <w:rFonts w:ascii="Times New Roman" w:cs="Times New Roman" w:eastAsia="Times New Roman" w:hAnsi="Times New Roman"/>
          <w:sz w:val="18"/>
          <w:szCs w:val="18"/>
          <w:color w:val="auto"/>
        </w:rPr>
        <w:t>. The Company has paid or shall pay the required Commission filing fees relating to the Offered Securities within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required by Rule 456(b)(1) and otherwise in accordance with Rules 456(b) and 457(r).</w:t>
      </w:r>
    </w:p>
    <w:p>
      <w:pPr>
        <w:spacing w:after="0" w:line="158" w:lineRule="exact"/>
        <w:rPr>
          <w:rFonts w:ascii="Times New Roman" w:cs="Times New Roman" w:eastAsia="Times New Roman" w:hAnsi="Times New Roman"/>
          <w:sz w:val="18"/>
          <w:szCs w:val="18"/>
          <w:color w:val="auto"/>
        </w:rPr>
      </w:pPr>
    </w:p>
    <w:p>
      <w:pPr>
        <w:jc w:val="both"/>
        <w:ind w:firstLine="644"/>
        <w:spacing w:after="0" w:line="267" w:lineRule="auto"/>
        <w:tabs>
          <w:tab w:leader="none" w:pos="131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Ineligible Issuer Status. </w:t>
      </w:r>
      <w:r>
        <w:rPr>
          <w:rFonts w:ascii="Times New Roman" w:cs="Times New Roman" w:eastAsia="Times New Roman" w:hAnsi="Times New Roman"/>
          <w:sz w:val="18"/>
          <w:szCs w:val="18"/>
          <w:color w:val="auto"/>
        </w:rPr>
        <w:t>(i) At the Applicable Time and (ii) at the date of this Agreement, the Company was not and is not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“ineligible issuer,” as defined in Rule 405, without taking account of any determination by the Commission pursuant to Rule 405 of the Act that it is not necessary that the Company be considered an ineligible issuer.</w:t>
      </w:r>
    </w:p>
    <w:p>
      <w:pPr>
        <w:spacing w:after="0" w:line="34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sectPr>
      </w:pPr>
    </w:p>
    <w:bookmarkStart w:id="7" w:name="page8"/>
    <w:bookmarkEnd w:id="7"/>
    <w:p>
      <w:pPr>
        <w:jc w:val="both"/>
        <w:ind w:left="-460" w:firstLine="644"/>
        <w:spacing w:after="0" w:line="254" w:lineRule="auto"/>
        <w:tabs>
          <w:tab w:leader="none" w:pos="80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Disclosure Package</w:t>
      </w:r>
      <w:r>
        <w:rPr>
          <w:rFonts w:ascii="Times New Roman" w:cs="Times New Roman" w:eastAsia="Times New Roman" w:hAnsi="Times New Roman"/>
          <w:sz w:val="18"/>
          <w:szCs w:val="18"/>
          <w:color w:val="auto"/>
        </w:rPr>
        <w:t>. As of the Applicable Time, neither (i) the General Use Issuer Free Writing Prospectus(es) issued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or prior to the Applicable Time and the preliminary prospectus supplement, dated March 6, 2025, including the base prospectus, dated November 21, 2022, and the other information, if any, stated in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to this Agreement to be included in the General Disclosure Package, all considered together (collectively, the “</w:t>
      </w:r>
      <w:r>
        <w:rPr>
          <w:rFonts w:ascii="Times New Roman" w:cs="Times New Roman" w:eastAsia="Times New Roman" w:hAnsi="Times New Roman"/>
          <w:sz w:val="18"/>
          <w:szCs w:val="18"/>
          <w:b w:val="1"/>
          <w:bCs w:val="1"/>
          <w:color w:val="auto"/>
        </w:rPr>
        <w:t>General Disclosure Package</w:t>
      </w:r>
      <w:r>
        <w:rPr>
          <w:rFonts w:ascii="Times New Roman" w:cs="Times New Roman" w:eastAsia="Times New Roman" w:hAnsi="Times New Roman"/>
          <w:sz w:val="18"/>
          <w:szCs w:val="18"/>
          <w:color w:val="auto"/>
        </w:rPr>
        <w:t xml:space="preserve">”), nor (ii) any individual Limited Use Issuer Free Writing Prospectus, when considered together with the General Disclosure Package, included any untrue statement of a material fact or omitted to state any material fact necessary in order to make the statements therein, in the light of the circumstances under which they were made, not misleading. The preceding sentence does not apply to statements in or omissions from any Statutory Prospectus or any Issuer Free Writing Prospectus in reliance upon and in conformity with written information furnished to the Company by any Underwriter through the Representatives, it being understood and agreed that the only such information furnished by any Underwriter consists of the information described as such in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hereof.</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88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Issuer Free Writing Prospectuses</w:t>
      </w:r>
      <w:r>
        <w:rPr>
          <w:rFonts w:ascii="Times New Roman" w:cs="Times New Roman" w:eastAsia="Times New Roman" w:hAnsi="Times New Roman"/>
          <w:sz w:val="18"/>
          <w:szCs w:val="18"/>
          <w:color w:val="auto"/>
        </w:rPr>
        <w:t>. Each Issuer Free Writing Prospectus, as of its issue date and at all subsequent times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completion of the public offer and sale of the Offered Securities or until any earlier date that the Company notified or notifies the Representatives as described in the next sentence, did not, does not and will not include any information that conflicted, conflicts or will conflict with the information then contained in the Registration Statement. If at any time following issuance of an Issuer Free Writing Prospectus, at a time when a prospectus relating to the Offered Securities is (or but for the exemption in Rule 172 would be) required to be delivered under the Act by any Underwriter or dealer, there occurred or occurs an event or development as a result of which such Issuer Free Writing Prospectus conflicted or would conflict with the information then contained in the Registration Statement or as a result of which such Issuer Free Writing Prospectus, if republished immediately following such event or development, would include an untrue statement of a material fact or omitted or would omit to state a material fact necessary in order to make the statements therein, in the light of the circumstances under which they were made, not misleading, (i) the Company has promptly notified or will promptly notify the Representatives and (ii) the Company has promptly amended or will promptly amend or supplement such Issuer Free Writing Prospectus to eliminate or correct such conflict, untrue statement or omission. The foregoing two sentences do not apply to statements in or omissions from the Issuer Free Writing Prospectus made in reliance upon and in conformity with information furnished in writing to the Company by or on behalf of any Underwriter through the Representatives specifically for use therein, it being understood and agreed that the only such information furnished by any Underwriter consists of the information described as such in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hereof.</w:t>
      </w:r>
    </w:p>
    <w:p>
      <w:pPr>
        <w:spacing w:after="0" w:line="195"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80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Good Standing of the Company</w:t>
      </w:r>
      <w:r>
        <w:rPr>
          <w:rFonts w:ascii="Times New Roman" w:cs="Times New Roman" w:eastAsia="Times New Roman" w:hAnsi="Times New Roman"/>
          <w:sz w:val="18"/>
          <w:szCs w:val="18"/>
          <w:color w:val="auto"/>
        </w:rPr>
        <w:t>. The Company has been duly incorporated and is existing and in good standing under the laws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State of Delaware, with power and authority (corporate and other) to own and/or lease its properties and conduct its business as described in the General Disclosure Package; and the Company is duly qualified to do business as a foreign corporation in good standing in all other jurisdictions in which its ownership or lease of property or the conduct of its business requires such qualification, except where the failure to so qualify or to be in good standing in such other jurisdictions would not reasonably be expected to, individually or in the aggregate, result in a material adverse effect on the condition (financial or otherwise), results of operations, business, properties or prospects of the Company and its subsidiaries taken as a whole (“</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w:t>
      </w:r>
    </w:p>
    <w:p>
      <w:pPr>
        <w:spacing w:after="0" w:line="35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9" w:right="339" w:bottom="1440" w:gutter="0" w:footer="0" w:header="0"/>
        </w:sectPr>
      </w:pPr>
    </w:p>
    <w:bookmarkStart w:id="8" w:name="page9"/>
    <w:bookmarkEnd w:id="8"/>
    <w:p>
      <w:pPr>
        <w:jc w:val="both"/>
        <w:ind w:left="-460" w:firstLine="644"/>
        <w:spacing w:after="0" w:line="252" w:lineRule="auto"/>
        <w:tabs>
          <w:tab w:leader="none" w:pos="88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Subsidiaries</w:t>
      </w:r>
      <w:r>
        <w:rPr>
          <w:rFonts w:ascii="Times New Roman" w:cs="Times New Roman" w:eastAsia="Times New Roman" w:hAnsi="Times New Roman"/>
          <w:sz w:val="18"/>
          <w:szCs w:val="18"/>
          <w:color w:val="auto"/>
        </w:rPr>
        <w:t>. The Company’s “significant” subsidiaries, as defined in Rule 1-02 of Regulation S-X, are the Guarantor, Eclipse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Merger Sub II, LLC, Endeavor Energy Resources, L.P., Viper Energy Partners LLC (“</w:t>
      </w:r>
      <w:r>
        <w:rPr>
          <w:rFonts w:ascii="Times New Roman" w:cs="Times New Roman" w:eastAsia="Times New Roman" w:hAnsi="Times New Roman"/>
          <w:sz w:val="18"/>
          <w:szCs w:val="18"/>
          <w:b w:val="1"/>
          <w:bCs w:val="1"/>
          <w:color w:val="auto"/>
        </w:rPr>
        <w:t>Viper OpCo</w:t>
      </w:r>
      <w:r>
        <w:rPr>
          <w:rFonts w:ascii="Times New Roman" w:cs="Times New Roman" w:eastAsia="Times New Roman" w:hAnsi="Times New Roman"/>
          <w:sz w:val="18"/>
          <w:szCs w:val="18"/>
          <w:color w:val="auto"/>
        </w:rPr>
        <w:t>”), QEP Resources, Inc. and QEP Energy Company (each a “</w:t>
      </w:r>
      <w:r>
        <w:rPr>
          <w:rFonts w:ascii="Times New Roman" w:cs="Times New Roman" w:eastAsia="Times New Roman" w:hAnsi="Times New Roman"/>
          <w:sz w:val="18"/>
          <w:szCs w:val="18"/>
          <w:b w:val="1"/>
          <w:bCs w:val="1"/>
          <w:color w:val="auto"/>
        </w:rPr>
        <w:t>Significant Subsidiary</w:t>
      </w:r>
      <w:r>
        <w:rPr>
          <w:rFonts w:ascii="Times New Roman" w:cs="Times New Roman" w:eastAsia="Times New Roman" w:hAnsi="Times New Roman"/>
          <w:sz w:val="18"/>
          <w:szCs w:val="18"/>
          <w:color w:val="auto"/>
        </w:rPr>
        <w:t>”). Each Significant Subsidiary has been duly formed and is existing and in good standing under the laws of the jurisdiction of its organization with the limited liability company or corporate power and authority, as applicable, to own and/or lease its properties and conduct its business as described in the General Disclosure Package; and each Significant Subsidiary is duly qualified to do business as a foreign limited liability company or corporation, as applicable, in good standing in all other jurisdictions in which its ownership or lease of property or the conduct of its business requires such qualification, except where the failure to so qualify or be in good standing in such other jurisdictions would not result in a Material Adverse Effect; all of the limited liability company interests or shares of common stock, as the case may be, in each Significant Subsidiary of the Company have been duly authorized and validly issued in accordance with constituent documents of each Significant Subsidiary and are fully paid (to the extent required under such subsidiary’s limited liability company agreement with respect to those Significant Subsidiaries of the Company that are limited liability companies) and non-assessable (except as such non-assessability may be affected by Sections 18-607 and 18-804 of the Delaware Limited Liability Company Act with respect to those Significant Subsidiaries of the Company that are limited liability companies); and, except as otherwise disclosed in the General Disclosure Package with respect to (i) the pledge thereof in connection with Viper OpCo’s revolving credit facility and (ii) the issuance and sale of common stock of Viper Energy, Inc. (“</w:t>
      </w:r>
      <w:r>
        <w:rPr>
          <w:rFonts w:ascii="Times New Roman" w:cs="Times New Roman" w:eastAsia="Times New Roman" w:hAnsi="Times New Roman"/>
          <w:sz w:val="18"/>
          <w:szCs w:val="18"/>
          <w:b w:val="1"/>
          <w:bCs w:val="1"/>
          <w:color w:val="auto"/>
        </w:rPr>
        <w:t>Viper</w:t>
      </w:r>
      <w:r>
        <w:rPr>
          <w:rFonts w:ascii="Times New Roman" w:cs="Times New Roman" w:eastAsia="Times New Roman" w:hAnsi="Times New Roman"/>
          <w:sz w:val="18"/>
          <w:szCs w:val="18"/>
          <w:color w:val="auto"/>
        </w:rPr>
        <w:t>”) to the public, in connection with acquisitions of mineral and royalty interests or other assets or pursuant to Viper’s equity compensation plan, the equity interests in each Significant Subsidiary will be owned by the Company, directly or through subsidiaries, free from liens, encumbrances and defects.</w:t>
      </w:r>
    </w:p>
    <w:p>
      <w:pPr>
        <w:spacing w:after="0" w:line="193"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90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Each of the Base Indenture and the Supplemental Indenture has been duly authorized, the Base Indenture was duly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executed and delivered by each of the Company, the Guarantor and the Trustee and the Supplemental Indenture will have been duly executed and delivered by each of the Company, the Guarantor and the Trustee on the Closing Date. The Base Indenture constitutes and the Supplemental Indenture will constitute, in each case, assuming due authorization, execution and delivery thereof by the Trustee, the valid and legally binding obligations of the Company and the Guarantor, enforceable in accordance with its terms, except as the enforcement thereof may be limited by bankruptcy, insolvency, reorganization, moratorium, fraudulent transfer or conveyance or other similar laws of general applicability relating to or affecting the rights and remedies of creditors or by general equitable principles and except as rights to indemnification and contribution may be limited by applicable law.</w:t>
      </w:r>
    </w:p>
    <w:p>
      <w:pPr>
        <w:spacing w:after="0" w:line="184"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8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Notes and the Guarantees</w:t>
      </w:r>
      <w:r>
        <w:rPr>
          <w:rFonts w:ascii="Times New Roman" w:cs="Times New Roman" w:eastAsia="Times New Roman" w:hAnsi="Times New Roman"/>
          <w:sz w:val="18"/>
          <w:szCs w:val="18"/>
          <w:color w:val="auto"/>
        </w:rPr>
        <w:t>. The Notes have been duly authorized by the Company and on the Closing Date (i) will be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contemplated by the Indenture, (ii) will have been duly executed by the Company, (iii) when authenticated by the Trustee in the manner provided for in the Indenture on the Closing Date and delivered against payment of the purchase price therefor, will have been duly authenticated, issued, executed and delivered and will constitute valid and legally binding obligations of the Company, enforceable against the Company in accordance with their terms, except as the enforcement thereof may be limited by bankruptcy, insolvency, reorganization, moratorium, fraudulent transfer or conveyance or other similar laws of general applicability relating to or affecting the rights and remedies of creditors or by general equitable principles, and (iv) will be entitled to the benefits of the Indenture. On the Closing Date, (i) the Guarantees of the Notes will be as set forth in the Indenture, (ii) will have been duly authorized by the Guarantor, (iii) when issued by the Guarantor, the Supplemental Indenture will have been duly executed and delivered by the Guarantor, (iv) when the Notes have been authenticated in the manner provided for in the Indenture and issued and delivered against payment of the purchase price therefor, the Guarantees will constitute the valid and legally binding agreements of the Guarantor, enforceable against the Guarantor in accordance with their terms, except as the enforcement thereof may be limited by bankruptcy, insolvency, reorganization, moratorium, fraudulent transfer or conveyance or other similar laws of general applicability relating to or affecting the rights and remedies of creditors or by general equitable principle and (v) the Guarantees will be entitled to the benefits provided by the Indenture.</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67" w:lineRule="auto"/>
        <w:tabs>
          <w:tab w:leader="none" w:pos="72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Trust Indenture Act</w:t>
      </w:r>
      <w:r>
        <w:rPr>
          <w:rFonts w:ascii="Times New Roman" w:cs="Times New Roman" w:eastAsia="Times New Roman" w:hAnsi="Times New Roman"/>
          <w:sz w:val="18"/>
          <w:szCs w:val="18"/>
          <w:color w:val="auto"/>
        </w:rPr>
        <w:t>. The Base Indenture has been and the Supplemental Indenture will be duly qualified under the Trust Indenture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 and the Base Indenture conforms and the Supplemental Indenture will conform in all material respects to the requirements of the Trust Indenture Act and the Rules and Regulations with respect thereto that are applicable to an indenture which is qualified thereunder.</w:t>
      </w:r>
    </w:p>
    <w:p>
      <w:pPr>
        <w:spacing w:after="0" w:line="34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9" w:right="339" w:bottom="1440" w:gutter="0" w:footer="0" w:header="0"/>
        </w:sectPr>
      </w:pPr>
    </w:p>
    <w:bookmarkStart w:id="9" w:name="page10"/>
    <w:bookmarkEnd w:id="9"/>
    <w:p>
      <w:pPr>
        <w:jc w:val="both"/>
        <w:ind w:left="-460" w:firstLine="644"/>
        <w:spacing w:after="0" w:line="267" w:lineRule="auto"/>
        <w:tabs>
          <w:tab w:leader="none" w:pos="93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Finder’s Fee</w:t>
      </w:r>
      <w:r>
        <w:rPr>
          <w:rFonts w:ascii="Times New Roman" w:cs="Times New Roman" w:eastAsia="Times New Roman" w:hAnsi="Times New Roman"/>
          <w:sz w:val="18"/>
          <w:szCs w:val="18"/>
          <w:color w:val="auto"/>
        </w:rPr>
        <w:t>. Except as disclosed in the General Disclosure Package and the Final Prospectus, there are no contracts,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or understandings between the Company and any person that would give rise to a valid claim against the Company or the Guarantor or any Underwriter for a brokerage commission, finder’s fee or other like payment in connection with this offering.</w:t>
      </w:r>
    </w:p>
    <w:p>
      <w:pPr>
        <w:spacing w:after="0" w:line="173" w:lineRule="exact"/>
        <w:rPr>
          <w:rFonts w:ascii="Times New Roman" w:cs="Times New Roman" w:eastAsia="Times New Roman" w:hAnsi="Times New Roman"/>
          <w:sz w:val="18"/>
          <w:szCs w:val="18"/>
          <w:color w:val="auto"/>
        </w:rPr>
      </w:pPr>
    </w:p>
    <w:p>
      <w:pPr>
        <w:ind w:left="-460" w:firstLine="644"/>
        <w:spacing w:after="0" w:line="284" w:lineRule="auto"/>
        <w:tabs>
          <w:tab w:leader="none" w:pos="88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Accurate Descriptions</w:t>
      </w:r>
      <w:r>
        <w:rPr>
          <w:rFonts w:ascii="Times New Roman" w:cs="Times New Roman" w:eastAsia="Times New Roman" w:hAnsi="Times New Roman"/>
          <w:sz w:val="18"/>
          <w:szCs w:val="18"/>
          <w:color w:val="auto"/>
        </w:rPr>
        <w:t>. The Indenture, this Agreement and the Offered Securities will conform in all material respects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statements relating thereto contained in the General Disclosure Package and the Final Prospectus.</w:t>
      </w:r>
    </w:p>
    <w:p>
      <w:pPr>
        <w:spacing w:after="0" w:line="158" w:lineRule="exact"/>
        <w:rPr>
          <w:rFonts w:ascii="Times New Roman" w:cs="Times New Roman" w:eastAsia="Times New Roman" w:hAnsi="Times New Roman"/>
          <w:sz w:val="18"/>
          <w:szCs w:val="18"/>
          <w:color w:val="auto"/>
        </w:rPr>
      </w:pPr>
    </w:p>
    <w:p>
      <w:pPr>
        <w:jc w:val="both"/>
        <w:ind w:left="-460" w:firstLine="644"/>
        <w:spacing w:after="0" w:line="258" w:lineRule="auto"/>
        <w:tabs>
          <w:tab w:leader="none" w:pos="85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Registration Rights</w:t>
      </w:r>
      <w:r>
        <w:rPr>
          <w:rFonts w:ascii="Times New Roman" w:cs="Times New Roman" w:eastAsia="Times New Roman" w:hAnsi="Times New Roman"/>
          <w:sz w:val="18"/>
          <w:szCs w:val="18"/>
          <w:color w:val="auto"/>
        </w:rPr>
        <w:t>. Except as disclosed in the General Disclosure Package and the Final Prospectus, there are no contracts,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or understandings between the Company or the Guarantor and any person granting such person the right to require the Company or the Guarantor to file a registration statement under the Act with respect to any debt securities of the Company or the Guarantor owned or to be owned by such person or to require the Company or the Guarantor to include such securities in the securities registered pursuant to the Registration Statement.</w:t>
      </w:r>
    </w:p>
    <w:p>
      <w:pPr>
        <w:spacing w:after="0" w:line="183" w:lineRule="exact"/>
        <w:rPr>
          <w:rFonts w:ascii="Times New Roman" w:cs="Times New Roman" w:eastAsia="Times New Roman" w:hAnsi="Times New Roman"/>
          <w:sz w:val="18"/>
          <w:szCs w:val="18"/>
          <w:color w:val="auto"/>
        </w:rPr>
      </w:pPr>
    </w:p>
    <w:p>
      <w:pPr>
        <w:jc w:val="both"/>
        <w:ind w:left="-460" w:firstLine="644"/>
        <w:spacing w:after="0" w:line="257" w:lineRule="auto"/>
        <w:tabs>
          <w:tab w:leader="none" w:pos="66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Absence of Further Requirements</w:t>
      </w:r>
      <w:r>
        <w:rPr>
          <w:rFonts w:ascii="Times New Roman" w:cs="Times New Roman" w:eastAsia="Times New Roman" w:hAnsi="Times New Roman"/>
          <w:sz w:val="18"/>
          <w:szCs w:val="18"/>
          <w:color w:val="auto"/>
        </w:rPr>
        <w:t>. No consent, approval, authorization, or order of, or filing or registration with, any governmental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agency or body or any court having jurisdiction over the Company or the Guarantor or any of their properties or assets is required to be obtained or made by the Company or the Guarantor for the consummation of the transactions contemplated by this Agreement in connection with the offering, issuance and sale of the Notes by the Company and the issuance of the Guarantees by the Guarantor, except such as have been obtained, or made and such as may be required under state securities laws, the Act or Exchange Act, or by the Financial Industry Regulatory Authority (“</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85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Title to Property</w:t>
      </w:r>
      <w:r>
        <w:rPr>
          <w:rFonts w:ascii="Times New Roman" w:cs="Times New Roman" w:eastAsia="Times New Roman" w:hAnsi="Times New Roman"/>
          <w:sz w:val="18"/>
          <w:szCs w:val="18"/>
          <w:color w:val="auto"/>
        </w:rPr>
        <w:t>. Except as disclosed in the General Disclosure Package and the Final Prospectus, and except to the extent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failure of the following to be true, individually or in the aggregate, would not result in a Material Adverse Effect: (w) the Company and its subsidiaries have (i) good and defensible title to all of the interests in oil and gas properties underlying the Company’s and Viper’s estimates of its net proved reserves contained in the General Disclosure Package and (ii) good and marketable title to all other real and personal property reflected in the General Disclosure Package as assets owned by them, in each case free and clear of all liens, encumbrances and defects except such as (a) are liens under Viper OpCo’s revolving credit facility or (b) are liens and encumbrances under operating agreements, unitization and pooling agreements, production sales contracts, farmout agreements and other oil and gas exploration, participation and production agreements, in each case that secure payment of amounts not yet due and payable for the performance of other unmatured obligations and are of a scope and nature customary in the oil and gas industry or arise in connection with drilling and production operations; (x) any other real property and buildings held under lease by the Company and its subsidiaries are held by them under valid, subsisting and enforceable leases; (y) the working interests derived from oil, gas and mineral leases or mineral interests that constitute a portion of the real property held or leased by the Company and its subsidiaries, reflect in all material respects the rights of the Company and its subsidiaries to explore, develop or produce hydrocarbons from such real property in the manner contemplated by the General Disclosure Package, and the care taken by the Company and its subsidiaries with respect to acquiring or otherwise procuring such leases or other property interests was generally consistent with standard industry practices in the areas in which the Company and its subsidiaries operate for acquiring or procuring leases and interests therein to explore, develop or produce hydrocarbons; and (z) with respect to interests in oil and gas properties obtained by or on behalf of the Company and its subsidiaries that have not yet been drilled or included in a unit for drilling, the Company and its subsidiaries have carried out such title investigations in accordance with the reasonable practice in the oil and gas industry in the areas in which the Company and its subsidiaries operate.</w:t>
      </w:r>
    </w:p>
    <w:p>
      <w:pPr>
        <w:spacing w:after="0" w:line="191"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90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Rights-of-Way</w:t>
      </w:r>
      <w:r>
        <w:rPr>
          <w:rFonts w:ascii="Times New Roman" w:cs="Times New Roman" w:eastAsia="Times New Roman" w:hAnsi="Times New Roman"/>
          <w:sz w:val="18"/>
          <w:szCs w:val="18"/>
          <w:color w:val="auto"/>
        </w:rPr>
        <w:t>. The Company and its subsidiaries have such consents, easements, rights-of-way or licenses from any person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(collectively, “</w:t>
      </w:r>
      <w:r>
        <w:rPr>
          <w:rFonts w:ascii="Times New Roman" w:cs="Times New Roman" w:eastAsia="Times New Roman" w:hAnsi="Times New Roman"/>
          <w:sz w:val="18"/>
          <w:szCs w:val="18"/>
          <w:b w:val="1"/>
          <w:bCs w:val="1"/>
          <w:color w:val="auto"/>
        </w:rPr>
        <w:t>rights-of-way</w:t>
      </w:r>
      <w:r>
        <w:rPr>
          <w:rFonts w:ascii="Times New Roman" w:cs="Times New Roman" w:eastAsia="Times New Roman" w:hAnsi="Times New Roman"/>
          <w:sz w:val="18"/>
          <w:szCs w:val="18"/>
          <w:color w:val="auto"/>
        </w:rPr>
        <w:t>”) as are necessary to enable the Company to conduct its business in the manner described in the General Disclosure Package, subject to qualifications as may be set forth in the General Disclosure Package, except where failure to have such rights-of-way would not have, individually or in the aggregate, a Material Adverse Effect.</w:t>
      </w:r>
    </w:p>
    <w:p>
      <w:pPr>
        <w:spacing w:after="0" w:line="35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9" w:right="339" w:bottom="1440" w:gutter="0" w:footer="0" w:header="0"/>
        </w:sectPr>
      </w:pPr>
    </w:p>
    <w:bookmarkStart w:id="10" w:name="page11"/>
    <w:bookmarkEnd w:id="10"/>
    <w:p>
      <w:pPr>
        <w:jc w:val="both"/>
        <w:ind w:left="-460" w:firstLine="644"/>
        <w:spacing w:after="0" w:line="256" w:lineRule="auto"/>
        <w:tabs>
          <w:tab w:leader="none" w:pos="7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Reserve Engineers</w:t>
      </w:r>
      <w:r>
        <w:rPr>
          <w:rFonts w:ascii="Times New Roman" w:cs="Times New Roman" w:eastAsia="Times New Roman" w:hAnsi="Times New Roman"/>
          <w:sz w:val="18"/>
          <w:szCs w:val="18"/>
          <w:color w:val="auto"/>
        </w:rPr>
        <w:t>. (i) Ryder Scott Company, L.P. (“</w:t>
      </w:r>
      <w:r>
        <w:rPr>
          <w:rFonts w:ascii="Times New Roman" w:cs="Times New Roman" w:eastAsia="Times New Roman" w:hAnsi="Times New Roman"/>
          <w:sz w:val="18"/>
          <w:szCs w:val="18"/>
          <w:b w:val="1"/>
          <w:bCs w:val="1"/>
          <w:color w:val="auto"/>
        </w:rPr>
        <w:t>Ryder Scott</w:t>
      </w:r>
      <w:r>
        <w:rPr>
          <w:rFonts w:ascii="Times New Roman" w:cs="Times New Roman" w:eastAsia="Times New Roman" w:hAnsi="Times New Roman"/>
          <w:sz w:val="18"/>
          <w:szCs w:val="18"/>
          <w:color w:val="auto"/>
        </w:rPr>
        <w:t>”), a reserve engineer that prepared reserve reports on estimated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proved oil and natural gas reserves held by the Company and its subsidiaries as of December 31, 2024, December 31, 2023 and December 31, 2022, was, as of the date of preparation of such reserve reports, and is, as of the date hereof, an independent petroleum engineer with respect to the Company and (ii) to the knowledge of the Company, Netherland, Sewell &amp; Associates, Inc. (“</w:t>
      </w:r>
      <w:r>
        <w:rPr>
          <w:rFonts w:ascii="Times New Roman" w:cs="Times New Roman" w:eastAsia="Times New Roman" w:hAnsi="Times New Roman"/>
          <w:sz w:val="18"/>
          <w:szCs w:val="18"/>
          <w:b w:val="1"/>
          <w:bCs w:val="1"/>
          <w:color w:val="auto"/>
        </w:rPr>
        <w:t>Netherland Sewell</w:t>
      </w:r>
      <w:r>
        <w:rPr>
          <w:rFonts w:ascii="Times New Roman" w:cs="Times New Roman" w:eastAsia="Times New Roman" w:hAnsi="Times New Roman"/>
          <w:sz w:val="18"/>
          <w:szCs w:val="18"/>
          <w:color w:val="auto"/>
        </w:rPr>
        <w:t>” and, together with Ryder Scott, the “</w:t>
      </w:r>
      <w:r>
        <w:rPr>
          <w:rFonts w:ascii="Times New Roman" w:cs="Times New Roman" w:eastAsia="Times New Roman" w:hAnsi="Times New Roman"/>
          <w:sz w:val="18"/>
          <w:szCs w:val="18"/>
          <w:b w:val="1"/>
          <w:bCs w:val="1"/>
          <w:color w:val="auto"/>
        </w:rPr>
        <w:t>Reserve Engineers</w:t>
      </w:r>
      <w:r>
        <w:rPr>
          <w:rFonts w:ascii="Times New Roman" w:cs="Times New Roman" w:eastAsia="Times New Roman" w:hAnsi="Times New Roman"/>
          <w:sz w:val="18"/>
          <w:szCs w:val="18"/>
          <w:color w:val="auto"/>
        </w:rPr>
        <w:t>”), a reserve engineer that prepared reserve reports on estimated net proved oil and natural gas reserves held by Endeavor and its subsidiaries as of December 31, 2023, December 31, 2022 and December 31, 2021, was, as of the date of preparation of such reserve reports, an independent petroleum engineer with respect to Endeavor.</w:t>
      </w:r>
    </w:p>
    <w:p>
      <w:pPr>
        <w:spacing w:after="0" w:line="184"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92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Reserve Report Information</w:t>
      </w:r>
      <w:r>
        <w:rPr>
          <w:rFonts w:ascii="Times New Roman" w:cs="Times New Roman" w:eastAsia="Times New Roman" w:hAnsi="Times New Roman"/>
          <w:sz w:val="18"/>
          <w:szCs w:val="18"/>
          <w:color w:val="auto"/>
        </w:rPr>
        <w:t>. The information contained in or incorporated by reference in the General Disclosure Package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regarding estimated proved reserves of the Company is based upon the reserve reports prepared by Ryder Scott; and, to the knowledge of the Company, the information incorporated by reference in the General Disclosure Package regarding estimated proved reserves of Endeavor is based upon the reserve reports prepared by Netherland Sewell. The information provided to Ryder Scott by the Company and its subsidiaries, and, to the knowledge of the Company, the information provided to Netherland Sewell by Endeavor and its subsidiaries, including, in each case, without limitation, information as to: production, costs of operation and development, current prices for production, agreements relating to current and future operations and sales of production, was true and correct in all material respects on the dates that such reports were made. Such information was provided to Ryder Scott (in the case of the Company) and, to the knowledge of the Company, Netherland Sewell (in the case of Endeavor) in accordance with customary industry practices.</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79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Reserve Reports</w:t>
      </w:r>
      <w:r>
        <w:rPr>
          <w:rFonts w:ascii="Times New Roman" w:cs="Times New Roman" w:eastAsia="Times New Roman" w:hAnsi="Times New Roman"/>
          <w:sz w:val="18"/>
          <w:szCs w:val="18"/>
          <w:color w:val="auto"/>
        </w:rPr>
        <w:t>. The reserve reports prepared by Ryder Scott setting forth the estimated proved reserves attributed to the oil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gas properties of the Company accurately reflect in all material respects the ownership interests of the Company in its properties therein. To the knowledge of the Company, the reserve reports prepared by Netherland Sewell setting forth the estimated proved reserves attributed to the oil and gas properties of Endeavor accurately reflect in all material respects the ownership interests of the Endeavor in its properties therein. Other than normal production of reserves, intervening market commodity price fluctuations, fluctuations in demand for such products, adverse weather conditions, unavailability or increased costs of rigs, equipment, supplies or personnel, the timing of third party operations and other facts, in each case in the ordinary course of business, and except as disclosed in the General Disclosure Package and the Final Prospectus, neither the Company nor, to the Company’s knowledge, Endeavor is aware of any facts or circumstances that would result in a material adverse change in the aggregate net reserves, or the present value of future net cash flows therefrom, as described in the General Disclosure Package and the reserve reports; and estimates of such reserves and present values of the Company and, to the knowledge of the Company, Endeavor as described in the General Disclosure Package and reflected in the reserve reports comply in all material respects with the applicable requirements of Regulation S-X and Subpart 1200 of Regulation S-K under the Act</w:t>
      </w:r>
      <w:r>
        <w:rPr>
          <w:rFonts w:ascii="Times New Roman" w:cs="Times New Roman" w:eastAsia="Times New Roman" w:hAnsi="Times New Roman"/>
          <w:sz w:val="18"/>
          <w:szCs w:val="18"/>
          <w:i w:val="1"/>
          <w:iCs w:val="1"/>
          <w:color w:val="auto"/>
        </w:rPr>
        <w:t>.</w:t>
      </w:r>
    </w:p>
    <w:p>
      <w:pPr>
        <w:spacing w:after="0" w:line="36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11" w:name="page12"/>
    <w:bookmarkEnd w:id="11"/>
    <w:p>
      <w:pPr>
        <w:jc w:val="both"/>
        <w:ind w:firstLine="644"/>
        <w:spacing w:after="0" w:line="253" w:lineRule="auto"/>
        <w:tabs>
          <w:tab w:leader="none" w:pos="134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Absence of Defaults and Conflicts Resulting from Transaction</w:t>
      </w:r>
      <w:r>
        <w:rPr>
          <w:rFonts w:ascii="Times New Roman" w:cs="Times New Roman" w:eastAsia="Times New Roman" w:hAnsi="Times New Roman"/>
          <w:sz w:val="18"/>
          <w:szCs w:val="18"/>
          <w:color w:val="auto"/>
        </w:rPr>
        <w:t>. The execution, delivery and performance of the Indenture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to the Offered Securities and this Agreement and the issuance and sale of the Offered Securities and compliance with the terms and provisions thereof will not, as applicable, result in a breach or violation of any of the terms and provisions of, or constitute a default or a Debt Repayment Triggering Event (as defined below) under, or result in the imposition of any lien, charge or encumbrance upon any property or assets of the Company or any of its subsidiaries pursuant to, (i) the charter or by-laws or similar organizational documents of the Company or any of its Significant Subsidiaries, (ii) any statute, rule, regulation or order of any governmental agency or body or any court, domestic or foreign, having jurisdiction over the Company or any of its subsidiaries or any of their properties, or (iii) any agreement or instrument to which the Company or any of its subsidiaries is a party or by which the Company or any of its subsidiaries is bound or to which any of the properties of the Company or any of its subsidiaries is subject, except in the case of clauses (ii) and (iii), for any breaches, violations, defaults, liens, charges or encumbrances, which, individually or in the aggregate, would not result in a Material Adverse Effect; a “</w:t>
      </w:r>
      <w:r>
        <w:rPr>
          <w:rFonts w:ascii="Times New Roman" w:cs="Times New Roman" w:eastAsia="Times New Roman" w:hAnsi="Times New Roman"/>
          <w:sz w:val="18"/>
          <w:szCs w:val="18"/>
          <w:b w:val="1"/>
          <w:bCs w:val="1"/>
          <w:color w:val="auto"/>
        </w:rPr>
        <w:t>Debt Repayment Triggering Event</w:t>
      </w:r>
      <w:r>
        <w:rPr>
          <w:rFonts w:ascii="Times New Roman" w:cs="Times New Roman" w:eastAsia="Times New Roman" w:hAnsi="Times New Roman"/>
          <w:sz w:val="18"/>
          <w:szCs w:val="18"/>
          <w:color w:val="auto"/>
        </w:rPr>
        <w:t>” means any event or condition that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Company or any of its subsidiaries.</w:t>
      </w:r>
    </w:p>
    <w:p>
      <w:pPr>
        <w:spacing w:after="0" w:line="187" w:lineRule="exact"/>
        <w:rPr>
          <w:rFonts w:ascii="Times New Roman" w:cs="Times New Roman" w:eastAsia="Times New Roman" w:hAnsi="Times New Roman"/>
          <w:sz w:val="18"/>
          <w:szCs w:val="18"/>
          <w:color w:val="auto"/>
        </w:rPr>
      </w:pPr>
    </w:p>
    <w:p>
      <w:pPr>
        <w:jc w:val="both"/>
        <w:ind w:firstLine="644"/>
        <w:spacing w:after="0" w:line="257" w:lineRule="auto"/>
        <w:tabs>
          <w:tab w:leader="none" w:pos="119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Absence of Existing Defaults and Conflicts</w:t>
      </w:r>
      <w:r>
        <w:rPr>
          <w:rFonts w:ascii="Times New Roman" w:cs="Times New Roman" w:eastAsia="Times New Roman" w:hAnsi="Times New Roman"/>
          <w:sz w:val="18"/>
          <w:szCs w:val="18"/>
          <w:color w:val="auto"/>
        </w:rPr>
        <w:t>. Neither the Company nor any of its subsidiaries is in violation of its charter, by-laws,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limited liability company agreement or similar organizational documents, as applicable, or in default (or with the giving of notice or lapse of time would be in default) under any existing obligation, agreement, covenant or condition contained in any indenture, loan agreement, mortgage, lease or other agreement or instrument to which any of them is a party or by which any of them is bound or to which any of the properties of any of them is subject, except such defaults that would not reasonably be expected to, individually or in the aggregate, result in a Material Adverse Effect.</w:t>
      </w:r>
    </w:p>
    <w:p>
      <w:pPr>
        <w:spacing w:after="0" w:line="182" w:lineRule="exact"/>
        <w:rPr>
          <w:rFonts w:ascii="Times New Roman" w:cs="Times New Roman" w:eastAsia="Times New Roman" w:hAnsi="Times New Roman"/>
          <w:sz w:val="18"/>
          <w:szCs w:val="18"/>
          <w:color w:val="auto"/>
        </w:rPr>
      </w:pPr>
    </w:p>
    <w:p>
      <w:pPr>
        <w:ind w:left="1280" w:hanging="636"/>
        <w:spacing w:after="0"/>
        <w:tabs>
          <w:tab w:leader="none" w:pos="1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Authorization of Agreement. </w:t>
      </w:r>
      <w:r>
        <w:rPr>
          <w:rFonts w:ascii="Times New Roman" w:cs="Times New Roman" w:eastAsia="Times New Roman" w:hAnsi="Times New Roman"/>
          <w:sz w:val="18"/>
          <w:szCs w:val="18"/>
          <w:color w:val="auto"/>
        </w:rPr>
        <w:t>This Agreement has been duly authorized, executed and delivered by each of the Company and the</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Guarantor.</w:t>
      </w:r>
    </w:p>
    <w:p>
      <w:pPr>
        <w:spacing w:after="0" w:line="204" w:lineRule="exact"/>
        <w:rPr>
          <w:rFonts w:ascii="Times New Roman" w:cs="Times New Roman" w:eastAsia="Times New Roman" w:hAnsi="Times New Roman"/>
          <w:sz w:val="18"/>
          <w:szCs w:val="18"/>
          <w:color w:val="auto"/>
        </w:rPr>
      </w:pPr>
    </w:p>
    <w:p>
      <w:pPr>
        <w:jc w:val="both"/>
        <w:ind w:firstLine="644"/>
        <w:spacing w:after="0" w:line="255" w:lineRule="auto"/>
        <w:tabs>
          <w:tab w:leader="none" w:pos="119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Possession of Licenses and Permits</w:t>
      </w:r>
      <w:r>
        <w:rPr>
          <w:rFonts w:ascii="Times New Roman" w:cs="Times New Roman" w:eastAsia="Times New Roman" w:hAnsi="Times New Roman"/>
          <w:sz w:val="18"/>
          <w:szCs w:val="18"/>
          <w:color w:val="auto"/>
        </w:rPr>
        <w:t>. The Company and its subsidiaries possess all certificates, authorizations, franchises, licenses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permits issued by federal, state or local regulatory bodies (collectively, “</w:t>
      </w:r>
      <w:r>
        <w:rPr>
          <w:rFonts w:ascii="Times New Roman" w:cs="Times New Roman" w:eastAsia="Times New Roman" w:hAnsi="Times New Roman"/>
          <w:sz w:val="18"/>
          <w:szCs w:val="18"/>
          <w:b w:val="1"/>
          <w:bCs w:val="1"/>
          <w:color w:val="auto"/>
        </w:rPr>
        <w:t>Licenses</w:t>
      </w:r>
      <w:r>
        <w:rPr>
          <w:rFonts w:ascii="Times New Roman" w:cs="Times New Roman" w:eastAsia="Times New Roman" w:hAnsi="Times New Roman"/>
          <w:sz w:val="18"/>
          <w:szCs w:val="18"/>
          <w:color w:val="auto"/>
        </w:rPr>
        <w:t>”) necessary or material to the conduct of the business now conducted or proposed in the General Disclosure Package to be conducted by them, except where the failure to have obtained the same would not reasonably be expected to, result in a Material Adverse Effect. The Company and each of its subsidiaries are in compliance with the terms and conditions of all such Licenses, except where the failure to so comply would not reasonably be expected to, individually or in the aggregate, result in a Material Adverse Effect, and have not received any notice of proceedings relating to the revocation or modification of any Licenses that, if determined adversely to the Company or any of its subsidiaries would reasonably be expected to, individually or in the aggregate, result in a Material Adverse Effect.</w:t>
      </w:r>
    </w:p>
    <w:p>
      <w:pPr>
        <w:spacing w:after="0" w:line="184" w:lineRule="exact"/>
        <w:rPr>
          <w:rFonts w:ascii="Times New Roman" w:cs="Times New Roman" w:eastAsia="Times New Roman" w:hAnsi="Times New Roman"/>
          <w:sz w:val="18"/>
          <w:szCs w:val="18"/>
          <w:color w:val="auto"/>
        </w:rPr>
      </w:pPr>
    </w:p>
    <w:p>
      <w:pPr>
        <w:ind w:firstLine="644"/>
        <w:spacing w:after="0" w:line="284" w:lineRule="auto"/>
        <w:tabs>
          <w:tab w:leader="none" w:pos="1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Absence of Labor Dispute</w:t>
      </w:r>
      <w:r>
        <w:rPr>
          <w:rFonts w:ascii="Times New Roman" w:cs="Times New Roman" w:eastAsia="Times New Roman" w:hAnsi="Times New Roman"/>
          <w:sz w:val="18"/>
          <w:szCs w:val="18"/>
          <w:color w:val="auto"/>
        </w:rPr>
        <w:t>. No labor dispute with the employees of the Company or any of its subsidiaries exists or,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knowledge of the Company, is imminent such that it would result in a Material Adverse Effect.</w:t>
      </w:r>
    </w:p>
    <w:p>
      <w:pPr>
        <w:spacing w:after="0" w:line="158" w:lineRule="exact"/>
        <w:rPr>
          <w:rFonts w:ascii="Times New Roman" w:cs="Times New Roman" w:eastAsia="Times New Roman" w:hAnsi="Times New Roman"/>
          <w:sz w:val="18"/>
          <w:szCs w:val="18"/>
          <w:color w:val="auto"/>
        </w:rPr>
      </w:pPr>
    </w:p>
    <w:p>
      <w:pPr>
        <w:jc w:val="both"/>
        <w:ind w:firstLine="644"/>
        <w:spacing w:after="0" w:line="258" w:lineRule="auto"/>
        <w:tabs>
          <w:tab w:leader="none" w:pos="118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Possession of Intellectual Property</w:t>
      </w:r>
      <w:r>
        <w:rPr>
          <w:rFonts w:ascii="Times New Roman" w:cs="Times New Roman" w:eastAsia="Times New Roman" w:hAnsi="Times New Roman"/>
          <w:sz w:val="18"/>
          <w:szCs w:val="18"/>
          <w:color w:val="auto"/>
        </w:rPr>
        <w:t>. The Company and its subsidiaries own, possess or can acquire on reasonable terms, adequate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trademarks, trade names and other rights to inventions, know-how, patents, copyrights, confidential information and other intellectual property (collectively, “</w:t>
      </w:r>
      <w:r>
        <w:rPr>
          <w:rFonts w:ascii="Times New Roman" w:cs="Times New Roman" w:eastAsia="Times New Roman" w:hAnsi="Times New Roman"/>
          <w:sz w:val="18"/>
          <w:szCs w:val="18"/>
          <w:b w:val="1"/>
          <w:bCs w:val="1"/>
          <w:color w:val="auto"/>
        </w:rPr>
        <w:t>intellectual property rights</w:t>
      </w:r>
      <w:r>
        <w:rPr>
          <w:rFonts w:ascii="Times New Roman" w:cs="Times New Roman" w:eastAsia="Times New Roman" w:hAnsi="Times New Roman"/>
          <w:sz w:val="18"/>
          <w:szCs w:val="18"/>
          <w:color w:val="auto"/>
        </w:rPr>
        <w:t>”) necessary to conduct the business now operated by them, or presently employed by them, and have not received any notice of infringement of or conflict with asserted rights of others with respect to any intellectual property rights that, if determined adversely to the Company or any of its subsidiaries, would, individually or in the aggregate, result in a Material Adverse Effect.</w:t>
      </w:r>
    </w:p>
    <w:p>
      <w:pPr>
        <w:spacing w:after="0" w:line="35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19" w:right="339" w:bottom="1440" w:gutter="0" w:footer="0" w:header="0"/>
        </w:sectPr>
      </w:pPr>
    </w:p>
    <w:bookmarkStart w:id="12" w:name="page13"/>
    <w:bookmarkEnd w:id="12"/>
    <w:p>
      <w:pPr>
        <w:jc w:val="both"/>
        <w:ind w:left="4" w:firstLine="644"/>
        <w:spacing w:after="0" w:line="267" w:lineRule="auto"/>
        <w:tabs>
          <w:tab w:leader="none" w:pos="1201"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Environmental Laws</w:t>
      </w:r>
      <w:r>
        <w:rPr>
          <w:rFonts w:ascii="Times New Roman" w:cs="Times New Roman" w:eastAsia="Times New Roman" w:hAnsi="Times New Roman"/>
          <w:sz w:val="17"/>
          <w:szCs w:val="17"/>
          <w:color w:val="auto"/>
        </w:rPr>
        <w:t>. Except as disclosed in the General Disclosure Package and the Final Prospectus, (a)(i) none of the Company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 any of its subsidiaries is in violation of, and does not have any liability under, any federal, state, local or non-U.S. statute, law, rule, regulation, ordinance, code, other requirement or rule of law (including common law), or decision or order of any domestic or foreign governmental agency, governmental body or court, relating to pollution, to the use, handling, transportation, treatment, storage, discharge, disposal or release of Hazardous Substances (as defined below), to the protection or restoration of the environment or natural resources, to health and safety including as such relates to exposure to Hazardous Substances, and to natural resource damages (collectively, “</w:t>
      </w:r>
      <w:r>
        <w:rPr>
          <w:rFonts w:ascii="Times New Roman" w:cs="Times New Roman" w:eastAsia="Times New Roman" w:hAnsi="Times New Roman"/>
          <w:sz w:val="17"/>
          <w:szCs w:val="17"/>
          <w:b w:val="1"/>
          <w:bCs w:val="1"/>
          <w:color w:val="auto"/>
        </w:rPr>
        <w:t>Environmental Laws</w:t>
      </w:r>
      <w:r>
        <w:rPr>
          <w:rFonts w:ascii="Times New Roman" w:cs="Times New Roman" w:eastAsia="Times New Roman" w:hAnsi="Times New Roman"/>
          <w:sz w:val="17"/>
          <w:szCs w:val="17"/>
          <w:color w:val="auto"/>
        </w:rPr>
        <w:t>”), (ii) to the knowledge of the Company, neither the Company nor any of its subsidiaries own, occupy, operate or use any real property contaminated with Hazardous Substances, (iii) neither the Company nor any of its subsidiaries is conducting or funding any investigation, remediation, remedial action or monitoring of actual or suspected Hazardous Substances in the environment, (iv) to the knowledge of the Company, neither the Company nor any of its subsidiaries is liable or allegedly liable for any release or threatened release of Hazardous Substances, including at any off-site treatment, storage or disposal site, (v) neither the Company nor any of its subsidiaries is subject to any pending, or to the Company’s knowledge, threatened, claim by any governmental agency or governmental body or person arising under Environmental Laws or relating to Hazardous Substances, and</w:t>
      </w:r>
    </w:p>
    <w:p>
      <w:pPr>
        <w:spacing w:after="0" w:line="2" w:lineRule="exact"/>
        <w:rPr>
          <w:rFonts w:ascii="Times New Roman" w:cs="Times New Roman" w:eastAsia="Times New Roman" w:hAnsi="Times New Roman"/>
          <w:sz w:val="17"/>
          <w:szCs w:val="17"/>
          <w:color w:val="auto"/>
        </w:rPr>
      </w:pPr>
    </w:p>
    <w:p>
      <w:pPr>
        <w:jc w:val="both"/>
        <w:ind w:left="4" w:hanging="4"/>
        <w:spacing w:after="0" w:line="251" w:lineRule="auto"/>
        <w:tabs>
          <w:tab w:leader="none" w:pos="35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received and are in compliance with all, and have no liability under any, permits, licenses, authorizations, identification numbers or other approvals required under applicable Environmental Laws to conduct their business, except in each case covered by clauses (i) – (vi) such as would not, individually or in the aggregate, reasonably be expected to result in a Material Adverse Effect; (b) to the knowledge of the Company, there are no facts or circumstances that would reasonably be expected to result in a violation of, liability under, or claim pursuant to any Environmental Law that would result in a Material Adverse Effect; and (c) in the ordinary course of its business, the Company and its subsidiaries periodically evaluate the effect, including associated costs and liabilities, of Environmental Laws on the business, properties, results of operations and financial condition of the Company and, on the basis of such evaluation, the Company and its subsidiaries have reasonably concluded that such Environmental Laws will not, individually or in the aggregate, reasonably be expected to result in a Material Adverse Effect. For purposes of this subsection, “</w:t>
      </w:r>
      <w:r>
        <w:rPr>
          <w:rFonts w:ascii="Times New Roman" w:cs="Times New Roman" w:eastAsia="Times New Roman" w:hAnsi="Times New Roman"/>
          <w:sz w:val="18"/>
          <w:szCs w:val="18"/>
          <w:b w:val="1"/>
          <w:bCs w:val="1"/>
          <w:color w:val="auto"/>
        </w:rPr>
        <w:t>Hazardous Substances</w:t>
      </w:r>
      <w:r>
        <w:rPr>
          <w:rFonts w:ascii="Times New Roman" w:cs="Times New Roman" w:eastAsia="Times New Roman" w:hAnsi="Times New Roman"/>
          <w:sz w:val="18"/>
          <w:szCs w:val="18"/>
          <w:color w:val="auto"/>
        </w:rPr>
        <w:t>” means (A) petroleum and petroleum products, by-products or breakdown products, radioactive materials, asbestos-containing materials, polychlorinated biphenyls, per- and polyfluoroalkyl substances, and mold, and (B) any other chemical, material or substance defined or regulated as toxic or hazardous or as a pollutant, contaminant or waste under Environmental Laws.</w:t>
      </w:r>
    </w:p>
    <w:p>
      <w:pPr>
        <w:spacing w:after="0" w:line="190" w:lineRule="exact"/>
        <w:rPr>
          <w:rFonts w:ascii="Times New Roman" w:cs="Times New Roman" w:eastAsia="Times New Roman" w:hAnsi="Times New Roman"/>
          <w:sz w:val="18"/>
          <w:szCs w:val="18"/>
          <w:color w:val="auto"/>
        </w:rPr>
      </w:pPr>
    </w:p>
    <w:p>
      <w:pPr>
        <w:jc w:val="both"/>
        <w:ind w:left="4" w:firstLine="644"/>
        <w:spacing w:after="0" w:line="253" w:lineRule="auto"/>
        <w:tabs>
          <w:tab w:leader="none" w:pos="133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Cybersecurity</w:t>
      </w:r>
      <w:r>
        <w:rPr>
          <w:rFonts w:ascii="Times New Roman" w:cs="Times New Roman" w:eastAsia="Times New Roman" w:hAnsi="Times New Roman"/>
          <w:sz w:val="18"/>
          <w:szCs w:val="18"/>
          <w:color w:val="auto"/>
        </w:rPr>
        <w:t>. Except as disclosed in the General Disclosure Package and the Final Prospectus, (a)(i) to the knowledge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there has been no material security breach or material incident, or other material compromise of or relating to any of the Company’s or its subsidiaries’ information technology and computer systems, networks, hardware, software, data and data-bases (including the data and information of their respective customers, employees, suppliers, vendors and any third party data maintained, processed or stored by the Company and its subsidiaries, and any such data processed or stored by third parties on behalf of the Company or its subsidiaries), equipment or technology (collectively, “</w:t>
      </w:r>
      <w:r>
        <w:rPr>
          <w:rFonts w:ascii="Times New Roman" w:cs="Times New Roman" w:eastAsia="Times New Roman" w:hAnsi="Times New Roman"/>
          <w:sz w:val="18"/>
          <w:szCs w:val="18"/>
          <w:b w:val="1"/>
          <w:bCs w:val="1"/>
          <w:color w:val="auto"/>
        </w:rPr>
        <w:t>IT Systems and Data</w:t>
      </w:r>
      <w:r>
        <w:rPr>
          <w:rFonts w:ascii="Times New Roman" w:cs="Times New Roman" w:eastAsia="Times New Roman" w:hAnsi="Times New Roman"/>
          <w:sz w:val="18"/>
          <w:szCs w:val="18"/>
          <w:color w:val="auto"/>
        </w:rPr>
        <w:t>”) and (ii) the Company and its subsidiaries have not been notified in writing of, and have no knowledge of any event or condition that would reasonably be expected to result in, any material security breach or material incident, unauthorized access or disclosure or other material compromise to their IT Systems and Data; (b) the Company and its subsidiaries are presently in compliance with all applicable laws or statutes and all judgments, orders, rules and regulations of any court or arbitrator or governmental or regulatory authority and contractual obligations relating to the privacy and security of IT Systems and Data and to the protection of such IT Systems and Data from unauthorized use, access, misappropriation or modification, except as, in the case of this clause (b), would not reasonably be expected to, individually or in the aggregate, have a Material Adverse Effect; and (c) the Company and its subsidiaries have implemented appropriate controls, policies, procedures, and technological safeguards to maintain and protect the integrity, continuous operation, redundancy and security of their IT Systems and Data reasonably consistent with industry standards and practices, or as required by applicable regulatory standards.</w:t>
      </w:r>
    </w:p>
    <w:p>
      <w:pPr>
        <w:spacing w:after="0" w:line="35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9" w:right="339" w:bottom="1440" w:gutter="0" w:footer="0" w:header="0"/>
        </w:sectPr>
      </w:pPr>
    </w:p>
    <w:bookmarkStart w:id="13" w:name="page14"/>
    <w:bookmarkEnd w:id="13"/>
    <w:p>
      <w:pPr>
        <w:jc w:val="both"/>
        <w:ind w:left="-460" w:firstLine="644"/>
        <w:spacing w:after="0" w:line="255" w:lineRule="auto"/>
        <w:tabs>
          <w:tab w:leader="none" w:pos="80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Accurate Disclosure; Exhibits</w:t>
      </w:r>
      <w:r>
        <w:rPr>
          <w:rFonts w:ascii="Times New Roman" w:cs="Times New Roman" w:eastAsia="Times New Roman" w:hAnsi="Times New Roman"/>
          <w:sz w:val="18"/>
          <w:szCs w:val="18"/>
          <w:color w:val="auto"/>
        </w:rPr>
        <w:t>. The statements in (or incorporated by reference in) the General Disclosure Package and the Final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under the headings “Description of Debt Securities,” “Description of Notes”, “Certain U.S. Federal Income Tax Consequences” insofar as such statements summarize legal matters, agreements, documents or legal or regulatory proceedings discussed therein, are accurate summaries, in all material respects, of such legal matters, agreements, documents or legal or regulatory proceedings and present the information required to be shown under the Securities Act. There are no contracts or documents which are required to be described in the Registration Statement or the General Disclosure Package pursuant to Form S-3 or to be filed as exhibits to the Registration Statement pursuant to Item 601 of Regulation S-K which have not been so described or filed as required pursuant to the Act, except where the lack of description or filing would not have a Material Adverse Effect.</w:t>
      </w:r>
    </w:p>
    <w:p>
      <w:pPr>
        <w:spacing w:after="0" w:line="184" w:lineRule="exact"/>
        <w:rPr>
          <w:rFonts w:ascii="Times New Roman" w:cs="Times New Roman" w:eastAsia="Times New Roman" w:hAnsi="Times New Roman"/>
          <w:sz w:val="18"/>
          <w:szCs w:val="18"/>
          <w:color w:val="auto"/>
        </w:rPr>
      </w:pPr>
    </w:p>
    <w:p>
      <w:pPr>
        <w:jc w:val="both"/>
        <w:ind w:left="-460" w:firstLine="644"/>
        <w:spacing w:after="0" w:line="267" w:lineRule="auto"/>
        <w:tabs>
          <w:tab w:leader="none" w:pos="81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Absence of Manipulation. </w:t>
      </w:r>
      <w:r>
        <w:rPr>
          <w:rFonts w:ascii="Times New Roman" w:cs="Times New Roman" w:eastAsia="Times New Roman" w:hAnsi="Times New Roman"/>
          <w:sz w:val="18"/>
          <w:szCs w:val="18"/>
          <w:color w:val="auto"/>
        </w:rPr>
        <w:t>Neither the Company nor the Guarantor has taken, directly or indirectly, any action that is designed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that has constituted or that would reasonably be expected to cause or result in the stabilization or manipulation of the price of any security of the Company or the Guarantor to facilitate the sale or resale of the Offered Securities.</w:t>
      </w:r>
    </w:p>
    <w:p>
      <w:pPr>
        <w:spacing w:after="0" w:line="173" w:lineRule="exact"/>
        <w:rPr>
          <w:rFonts w:ascii="Times New Roman" w:cs="Times New Roman" w:eastAsia="Times New Roman" w:hAnsi="Times New Roman"/>
          <w:sz w:val="18"/>
          <w:szCs w:val="18"/>
          <w:color w:val="auto"/>
        </w:rPr>
      </w:pPr>
    </w:p>
    <w:p>
      <w:pPr>
        <w:jc w:val="both"/>
        <w:ind w:left="-460" w:firstLine="644"/>
        <w:spacing w:after="0" w:line="267" w:lineRule="auto"/>
        <w:tabs>
          <w:tab w:leader="none" w:pos="80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Statistical and Market-Related Data</w:t>
      </w:r>
      <w:r>
        <w:rPr>
          <w:rFonts w:ascii="Times New Roman" w:cs="Times New Roman" w:eastAsia="Times New Roman" w:hAnsi="Times New Roman"/>
          <w:sz w:val="18"/>
          <w:szCs w:val="18"/>
          <w:color w:val="auto"/>
        </w:rPr>
        <w:t>. Any third-party statistical and market-related data included or incorporated by reference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Registration Statement, a Statutory Prospectus or the General Disclosure Package are based on or derived from sources that the Company believes to be reliable and accurate in all material respects.</w:t>
      </w:r>
    </w:p>
    <w:p>
      <w:pPr>
        <w:spacing w:after="0" w:line="173"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90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Internal Controls and Compliance with the Sarbanes-Oxley Act</w:t>
      </w:r>
      <w:r>
        <w:rPr>
          <w:rFonts w:ascii="Times New Roman" w:cs="Times New Roman" w:eastAsia="Times New Roman" w:hAnsi="Times New Roman"/>
          <w:sz w:val="18"/>
          <w:szCs w:val="18"/>
          <w:color w:val="auto"/>
        </w:rPr>
        <w:t>. The Company and the Company’s Board of Directors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are in compliance with all applicable provisions of the Exchange Rules in all material respects. The Company maintains a system of internal controls, including, but not limited to, disclosure controls and procedures, internal controls over accounting matters and financial reporting, an internal audit function and legal and regulatory compliance controls (collectively, “</w:t>
      </w:r>
      <w:r>
        <w:rPr>
          <w:rFonts w:ascii="Times New Roman" w:cs="Times New Roman" w:eastAsia="Times New Roman" w:hAnsi="Times New Roman"/>
          <w:sz w:val="18"/>
          <w:szCs w:val="18"/>
          <w:b w:val="1"/>
          <w:bCs w:val="1"/>
          <w:color w:val="auto"/>
        </w:rPr>
        <w:t>Internal Controls</w:t>
      </w:r>
      <w:r>
        <w:rPr>
          <w:rFonts w:ascii="Times New Roman" w:cs="Times New Roman" w:eastAsia="Times New Roman" w:hAnsi="Times New Roman"/>
          <w:sz w:val="18"/>
          <w:szCs w:val="18"/>
          <w:color w:val="auto"/>
        </w:rPr>
        <w:t>”) that comply with the applicable Securities Laws and are sufficient to provide reasonable assurances that (i) transactions are executed in accordance with management’s general or specific authorizations, (ii) transactions are recorded as necessary to permit preparation of financial statements in conformity with U.S. Generally Accepted Accounting Principles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and to maintain accountability for assets, (iii) access to assets is permitted only in accordance with management’s general or specific authorization, and (iv) the recorded accounting for assets is compared with the existing assets at reasonable intervals and appropriate action is taken with respect to any differences.</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7" w:lineRule="auto"/>
        <w:tabs>
          <w:tab w:leader="none" w:pos="82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Disclosure Controls</w:t>
      </w:r>
      <w:r>
        <w:rPr>
          <w:rFonts w:ascii="Times New Roman" w:cs="Times New Roman" w:eastAsia="Times New Roman" w:hAnsi="Times New Roman"/>
          <w:sz w:val="18"/>
          <w:szCs w:val="18"/>
          <w:color w:val="auto"/>
        </w:rPr>
        <w:t>. The Company and its subsidiaries maintain an effective system of “disclosure controls and procedures”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defined in Rule 13a-15(e) of the Exchange Act) that is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subsidiaries have carried out evaluations of the effectiveness of their disclosure controls and procedures as required by Rule 13a-15 of the Exchange Act.</w:t>
      </w:r>
    </w:p>
    <w:p>
      <w:pPr>
        <w:spacing w:after="0" w:line="182"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80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Litigation</w:t>
      </w:r>
      <w:r>
        <w:rPr>
          <w:rFonts w:ascii="Times New Roman" w:cs="Times New Roman" w:eastAsia="Times New Roman" w:hAnsi="Times New Roman"/>
          <w:sz w:val="18"/>
          <w:szCs w:val="18"/>
          <w:color w:val="auto"/>
        </w:rPr>
        <w:t>. Except as disclosed in the General Disclosure Package and the Final Prospectus, there are no pending actions, suits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proceedings or, to the knowledge of the Company, any inquiries or investigations by any court or governmental agency or body, domestic or foreign, against or affecting the Company, any of its subsidiaries, or any of their respective properties that, if determined adversely to the Company or any of its subsidiaries, would individually or in the aggregate, reasonably be expected to result in a Material Adverse Effect, or would reasonably be expected to materially and adversely affect the ability of the Company or the Guarantor to perform their obligations under the Indenture or this Agreement; and no such actions, suits or proceedings (including any inquiries or investigations by any court or governmental agency or body, domestic or foreign) are, to the Company’s knowledge, threatened or contemplated.</w:t>
      </w:r>
    </w:p>
    <w:p>
      <w:pPr>
        <w:spacing w:after="0" w:line="35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9" w:right="339" w:bottom="1440" w:gutter="0" w:footer="0" w:header="0"/>
        </w:sectPr>
      </w:pPr>
    </w:p>
    <w:bookmarkStart w:id="14" w:name="page15"/>
    <w:bookmarkEnd w:id="14"/>
    <w:p>
      <w:pPr>
        <w:jc w:val="both"/>
        <w:ind w:left="-460" w:firstLine="644"/>
        <w:spacing w:after="0" w:line="251" w:lineRule="auto"/>
        <w:tabs>
          <w:tab w:leader="none" w:pos="69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Statements of the Company and Endeavor</w:t>
      </w:r>
      <w:r>
        <w:rPr>
          <w:rFonts w:ascii="Times New Roman" w:cs="Times New Roman" w:eastAsia="Times New Roman" w:hAnsi="Times New Roman"/>
          <w:sz w:val="18"/>
          <w:szCs w:val="18"/>
          <w:color w:val="auto"/>
        </w:rPr>
        <w:t>. The historical financial statements of the Company included or incorporated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reference in the Registration Statement, the General Disclosure Package and the Final Prospectus present fairly, in all material respects, the financial position of the Company and its consolidated subsidiaries as of the dates shown and their results of operations and cash flows of the Company and its subsidiaries for the periods shown, and such financial statements have been prepared in conformity with GAAP, applied on a consistent basis; and the pro forma financial statements and the related notes thereto of the Company and its subsidiaries included or incorporated by reference in the Registration Statement, the General Disclosure Package and the Final Prospectus have been prepared in accordance with the Commission’s rules and guidance with respect to pro forma financial information prepared in accordance with Regulation S-X in all material respects, and the assumptions underlying such pro forma financial information are reasonable and are set forth or incorporated by reference in each of the Registration Statement, the General Disclosure Package and the Final Prospectus. To the knowledge of the Company, the historical financial statements of Endeavor and its subsidiaries incorporated by reference in the Registration Statement, the General Disclosure Package and the Final Prospectus present fairly, in all material respects, the financial position of Endeavor and its consolidated subsidiaries as of the dates shown and their results of operations and cash flows of Endeavor and its subsidiaries for the periods shown, and such financial statements have been prepared in conformity with GAAP, applied on a consistent basis. Grant Thornton LLP has certified the audited financial statements of the Company included or incorporated by reference in the Registration Statement, the General Disclosure Package and the Final Prospectus, and is an independent registered public accounting firm with respect to the Company within the Rules and Regulations and as required by the Act and the applicable rules and guidance from the PCAOB. Grant Thornton LLP has certified the audited financial statements of Endeavor incorporated by reference in the Registration Statement, General Disclosure Package and the Final Prospectus, and is an independent registered public accounting firm, to the Company’s knowledge, with respect to Endeavor within the Rules and Regulations and as required by the Act and the applicable rules and guidance from the PCAOB. The other financial and statistical data included in the Registration Statement, the General Disclosure Package and the Final Prospectus present fairly, in all material respects, the information shown therein and such data has been compiled on a basis consistent with the financial statements presented therein and the books and records of the Company. There are no financial statements that are required pursuant to the Act and the Rules and Regulations thereto to be included or incorporated by reference in the Registration Statement, the General Disclosure Package or the Final Prospectus that are not included or incorporated by reference as required pursuant thereto. The interactive data in eXtensible Business Reporting Language included or incorporated by reference in each of the Registration Statement, the General Disclosure Package and the Final Prospectus fairly presents the information called for in all material respects and is prepared in accordance with the Commission’s rules and guidelines applicable thereto.</w:t>
      </w:r>
    </w:p>
    <w:p>
      <w:pPr>
        <w:spacing w:after="0" w:line="203" w:lineRule="exact"/>
        <w:rPr>
          <w:rFonts w:ascii="Times New Roman" w:cs="Times New Roman" w:eastAsia="Times New Roman" w:hAnsi="Times New Roman"/>
          <w:sz w:val="18"/>
          <w:szCs w:val="18"/>
          <w:color w:val="auto"/>
        </w:rPr>
      </w:pPr>
    </w:p>
    <w:p>
      <w:pPr>
        <w:ind w:left="860" w:hanging="676"/>
        <w:spacing w:after="0"/>
        <w:tabs>
          <w:tab w:leader="none" w:pos="8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Reserved.</w:t>
      </w:r>
    </w:p>
    <w:p>
      <w:pPr>
        <w:spacing w:after="0" w:line="225" w:lineRule="exact"/>
        <w:rPr>
          <w:rFonts w:ascii="Times New Roman" w:cs="Times New Roman" w:eastAsia="Times New Roman" w:hAnsi="Times New Roman"/>
          <w:sz w:val="18"/>
          <w:szCs w:val="18"/>
          <w:color w:val="auto"/>
        </w:rPr>
      </w:pPr>
    </w:p>
    <w:p>
      <w:pPr>
        <w:ind w:left="840" w:hanging="656"/>
        <w:spacing w:after="0"/>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Reserved.</w:t>
      </w:r>
    </w:p>
    <w:p>
      <w:pPr>
        <w:spacing w:after="0" w:line="225"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82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Material Adverse Change in Business</w:t>
      </w:r>
      <w:r>
        <w:rPr>
          <w:rFonts w:ascii="Times New Roman" w:cs="Times New Roman" w:eastAsia="Times New Roman" w:hAnsi="Times New Roman"/>
          <w:sz w:val="18"/>
          <w:szCs w:val="18"/>
          <w:color w:val="auto"/>
        </w:rPr>
        <w:t>. Since the respective dates as of which information is given in the General Disclosure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Package and the Final Prospectus, (i) there has not been any material change in the capital stock or any change in the long-term debt of the Company or any of its subsidiaries, or any material adverse change, or any development involving a prospective material adverse change, in or affecting the condition (financial or otherwise), earnings, business, properties or prospects of the Company and its subsidiaries, taken as a whole, except as otherwise disclosed or contemplated in the Disclosure Package and the Prospectus; (ii) there has been no dividend or distribution of any kind declared, paid or made by the Company or its subsidiaries on any class of their capital stock; (iii) there has been no material adverse change in the short-term indebtedness, net current assets or net assets of the Company or any its subsidiaries; and (iv) except as set forth or contemplated in the General Disclosure Package and the Final Prospectus, neither the Company nor any of its subsidiaries has entered into any transaction or agreement material to the Company and its subsidiaries, taken as a whole, other than in the ordinary course of business.</w:t>
      </w:r>
    </w:p>
    <w:p>
      <w:pPr>
        <w:spacing w:after="0" w:line="36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9" w:right="339" w:bottom="1440" w:gutter="0" w:footer="0" w:header="0"/>
        </w:sectPr>
      </w:pPr>
    </w:p>
    <w:bookmarkStart w:id="15" w:name="page16"/>
    <w:bookmarkEnd w:id="15"/>
    <w:p>
      <w:pPr>
        <w:jc w:val="both"/>
        <w:ind w:left="-460" w:firstLine="644"/>
        <w:spacing w:after="0" w:line="267" w:lineRule="auto"/>
        <w:tabs>
          <w:tab w:leader="none" w:pos="92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Investment Company Act</w:t>
      </w:r>
      <w:r>
        <w:rPr>
          <w:rFonts w:ascii="Times New Roman" w:cs="Times New Roman" w:eastAsia="Times New Roman" w:hAnsi="Times New Roman"/>
          <w:sz w:val="18"/>
          <w:szCs w:val="18"/>
          <w:color w:val="auto"/>
        </w:rPr>
        <w:t>. Neither the Company nor the Guarantor is and, after giving effect to the offering and sale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Offered Securities and the application of the proceeds thereof as described in the General Disclosure Package, will be required to register as an “investment company” as defined in the Investment Company Act of 1940 (the “</w:t>
      </w:r>
      <w:r>
        <w:rPr>
          <w:rFonts w:ascii="Times New Roman" w:cs="Times New Roman" w:eastAsia="Times New Roman" w:hAnsi="Times New Roman"/>
          <w:sz w:val="18"/>
          <w:szCs w:val="18"/>
          <w:b w:val="1"/>
          <w:bCs w:val="1"/>
          <w:color w:val="auto"/>
        </w:rPr>
        <w:t>Investment Company Act</w:t>
      </w:r>
      <w:r>
        <w:rPr>
          <w:rFonts w:ascii="Times New Roman" w:cs="Times New Roman" w:eastAsia="Times New Roman" w:hAnsi="Times New Roman"/>
          <w:sz w:val="18"/>
          <w:szCs w:val="18"/>
          <w:color w:val="auto"/>
        </w:rPr>
        <w:t>”).</w:t>
      </w:r>
    </w:p>
    <w:p>
      <w:pPr>
        <w:spacing w:after="0" w:line="173" w:lineRule="exact"/>
        <w:rPr>
          <w:rFonts w:ascii="Times New Roman" w:cs="Times New Roman" w:eastAsia="Times New Roman" w:hAnsi="Times New Roman"/>
          <w:sz w:val="18"/>
          <w:szCs w:val="18"/>
          <w:color w:val="auto"/>
        </w:rPr>
      </w:pPr>
    </w:p>
    <w:p>
      <w:pPr>
        <w:jc w:val="both"/>
        <w:ind w:left="-460" w:firstLine="644"/>
        <w:spacing w:after="0" w:line="267" w:lineRule="auto"/>
        <w:tabs>
          <w:tab w:leader="none" w:pos="8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Regulations T, U, X</w:t>
      </w:r>
      <w:r>
        <w:rPr>
          <w:rFonts w:ascii="Times New Roman" w:cs="Times New Roman" w:eastAsia="Times New Roman" w:hAnsi="Times New Roman"/>
          <w:sz w:val="18"/>
          <w:szCs w:val="18"/>
          <w:color w:val="auto"/>
        </w:rPr>
        <w:t>. None of the Company or its subsidiaries or any agent thereof acting on their behalf has taken, and none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them will take, any action that might cause this Agreement or the issuance or sale of the Offered Securities to violate Regulation T, Regulation U or Regulation X of the Board of Governors of the Federal Reserve System.</w:t>
      </w:r>
    </w:p>
    <w:p>
      <w:pPr>
        <w:spacing w:after="0" w:line="173" w:lineRule="exact"/>
        <w:rPr>
          <w:rFonts w:ascii="Times New Roman" w:cs="Times New Roman" w:eastAsia="Times New Roman" w:hAnsi="Times New Roman"/>
          <w:sz w:val="18"/>
          <w:szCs w:val="18"/>
          <w:color w:val="auto"/>
        </w:rPr>
      </w:pPr>
    </w:p>
    <w:p>
      <w:pPr>
        <w:ind w:left="840" w:hanging="656"/>
        <w:spacing w:after="0"/>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88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Taxes. </w:t>
      </w:r>
      <w:r>
        <w:rPr>
          <w:rFonts w:ascii="Times New Roman" w:cs="Times New Roman" w:eastAsia="Times New Roman" w:hAnsi="Times New Roman"/>
          <w:sz w:val="18"/>
          <w:szCs w:val="18"/>
          <w:color w:val="auto"/>
        </w:rPr>
        <w:t>The Company and its subsidiaries have filed all federal, state, local and non-U.S. tax returns that are required to be filed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have requested extensions thereof (except in any case in which the failure so to file would not result in a Material Adverse Effect); and, except as set forth in the General Disclosure Package and the Final Prospectus, the Company and its subsidiaries have paid all taxes (including any assessments, fines or penalties) required to be paid by them, except for any such taxes, assessments, fines or penalties currently being contested in good faith and for which an adequate reserve for accrual has been established in accordance with GAAP or as would not, individually or in the aggregate, result in a Material Adverse Effect. No tax deficiency has been asserted against the Company or its subsidiaries, expect to the extent any deficiency that would not, individually or in the aggregate, result in a Material Adverse Effect.</w:t>
      </w:r>
    </w:p>
    <w:p>
      <w:pPr>
        <w:spacing w:after="0" w:line="182" w:lineRule="exact"/>
        <w:rPr>
          <w:rFonts w:ascii="Times New Roman" w:cs="Times New Roman" w:eastAsia="Times New Roman" w:hAnsi="Times New Roman"/>
          <w:sz w:val="18"/>
          <w:szCs w:val="18"/>
          <w:color w:val="auto"/>
        </w:rPr>
      </w:pPr>
    </w:p>
    <w:p>
      <w:pPr>
        <w:jc w:val="both"/>
        <w:ind w:left="-460" w:firstLine="644"/>
        <w:spacing w:after="0" w:line="255" w:lineRule="auto"/>
        <w:tabs>
          <w:tab w:leader="none" w:pos="80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Insurance. </w:t>
      </w:r>
      <w:r>
        <w:rPr>
          <w:rFonts w:ascii="Times New Roman" w:cs="Times New Roman" w:eastAsia="Times New Roman" w:hAnsi="Times New Roman"/>
          <w:sz w:val="18"/>
          <w:szCs w:val="18"/>
          <w:color w:val="auto"/>
        </w:rPr>
        <w:t>Except as disclosed in the General Disclosure Package and the Final Prospectus, the Company and its subsidiaries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insured by insurers of recognized financial responsibility against such losses and risks and in such amounts as the Company reasonably believes are adequate for the conduct of their business. The Company and its subsidiaries are in compliance with the terms of such policies and instruments in all material respects; and there are no material claims by the Company or its subsidiaries under any such policy or instrument as to which any insurance company is denying liability or defending under a reservation of rights clause. Neither the Company nor any of its subsidiaries has any reason to believe that any of them will not be able to renew its existing insurance coverage as and when such coverage expires or to obtain similar coverage from similar insurers as may be necessary to continue its business at a cost that would not have a Material Adverse Effect, except as disclosed in the General Disclosure Package and the Final Prospectus.</w:t>
      </w:r>
    </w:p>
    <w:p>
      <w:pPr>
        <w:spacing w:after="0" w:line="184"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81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Relationships and Related Transactions</w:t>
      </w:r>
      <w:r>
        <w:rPr>
          <w:rFonts w:ascii="Times New Roman" w:cs="Times New Roman" w:eastAsia="Times New Roman" w:hAnsi="Times New Roman"/>
          <w:sz w:val="18"/>
          <w:szCs w:val="18"/>
          <w:color w:val="auto"/>
        </w:rPr>
        <w:t>. No relationship, direct or indirect, exists between or among the Company or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on the one hand, and the directors, officers, stockholders, customers or suppliers of the Company or its subsidiaries on the other hand, which is required to be described in the General Disclosure Package pursuant to the Act and the Rules and Regulations thereunder which is not so described therein.</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3" w:lineRule="auto"/>
        <w:tabs>
          <w:tab w:leader="none" w:pos="96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ERISA</w:t>
      </w:r>
      <w:r>
        <w:rPr>
          <w:rFonts w:ascii="Times New Roman" w:cs="Times New Roman" w:eastAsia="Times New Roman" w:hAnsi="Times New Roman"/>
          <w:sz w:val="18"/>
          <w:szCs w:val="18"/>
          <w:color w:val="auto"/>
        </w:rPr>
        <w:t>. The minimum funding standard under Section 302 of the Employee Retirement Income Security Act of 1974,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amended, and the regulations and published interpretations thereunder (“</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has been satisfied by each “pension plan” (as defined in Section 3(2) of ERISA) which has been established or maintained by the Company or any of its subsidiaries, and the trust forming part of each such plan which is intended to be qualified under Section 401 of the Internal Revenue Code of 1986, as amended, is so qualified; each of the Company and its subsidiaries has fulfilled its obligations, if any, under Section 515 of ERISA; neither the Company nor any of its subsidiaries maintain or are required to contribute to a “welfare plan” (as defined in Section 3(1) of ERISA) which provides retiree or other post-employment welfare benefits or insurance coverage (other than “continuation coverage” (as defined in Section 602 of ERISA)); each pension plan and welfare plan established or maintained by the Company and/or any of its subsidiaries are in compliance with the currently applicable provisions of ERISA, except where the failure to comply would not result in a Material Adverse Effect; and neither the Company nor any of its subsidiaries have incurred or would reasonably be expected to incur any withdrawal liability under Section 4201 of ERISA, any liability under Section 4062, 4063 or 4064 of ERISA, or any other liability under Title IV of ERISA.</w:t>
      </w:r>
    </w:p>
    <w:p>
      <w:pPr>
        <w:spacing w:after="0" w:line="36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9" w:right="339" w:bottom="1440" w:gutter="0" w:footer="0" w:header="0"/>
        </w:sectPr>
      </w:pPr>
    </w:p>
    <w:bookmarkStart w:id="16" w:name="page17"/>
    <w:bookmarkEnd w:id="16"/>
    <w:p>
      <w:pPr>
        <w:jc w:val="both"/>
        <w:ind w:left="-460" w:firstLine="644"/>
        <w:spacing w:after="0" w:line="253" w:lineRule="auto"/>
        <w:tabs>
          <w:tab w:leader="none" w:pos="85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Unlawful Payments</w:t>
      </w:r>
      <w:r>
        <w:rPr>
          <w:rFonts w:ascii="Times New Roman" w:cs="Times New Roman" w:eastAsia="Times New Roman" w:hAnsi="Times New Roman"/>
          <w:sz w:val="18"/>
          <w:szCs w:val="18"/>
          <w:color w:val="auto"/>
        </w:rPr>
        <w:t>. Neither the Company nor any of its subsidiaries, nor any director, officer or employee of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any of its subsidiaries, nor, to the knowledge of the Company and the Guarantor, any agent, affiliate or other person associated with or acting on behalf of the Company or any of its subsidiaries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offense under the Bribery Act 2010 of the United Kingdom, or any other applicable anti-bribery or anti-corruption law; or (iv) made, offered, agreed, requested or taken an act in furtherance of any unlawful bribe or other unlawful benefit, including, without limitation, any rebate, payoff, influence payment, kickback or other unlawful or improper payment or benefit. The Company and its subsidiaries have instituted, maintain and enforce policies and procedures designed to promote and ensure compliance with all applicable anti-bribery and anti-corruption laws.</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80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Anti-Money Laundering Laws</w:t>
      </w:r>
      <w:r>
        <w:rPr>
          <w:rFonts w:ascii="Times New Roman" w:cs="Times New Roman" w:eastAsia="Times New Roman" w:hAnsi="Times New Roman"/>
          <w:sz w:val="18"/>
          <w:szCs w:val="18"/>
          <w:color w:val="auto"/>
        </w:rPr>
        <w:t>. The operations of the Company and its subsidiaries and, to the knowledge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the operations of Double Eagle and its subsidiaries, are and have been conducted at all times in compliance with applicable financial recordkeeping and reporting requirements, including those of the Currency and Foreign Transactions Reporting Act of 1970, as amended, the Bank Secrecy Act, as amended by Title III of the Uniting and Strengthening America by Providing Appropriate Tools Required to Intercept and Obstruct Terrorism Act of 2001 (USA PATRIOT Act), the applicable anti-money laundering statutes of all jurisdictions where the Company, Double Eagle or any of their respective subsidiaries, as applicable, conducts business,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b w:val="1"/>
          <w:bCs w:val="1"/>
          <w:color w:val="auto"/>
        </w:rPr>
        <w:t>Anti-Money Laundering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any of its subsidiaries, or to the knowledge of the Company, Double Eagle or any of its subsidiaries, with respect to the Anti-Money Laundering Laws is pending or, to the knowledge of the Company and the Guarantor, threatened.</w:t>
      </w:r>
    </w:p>
    <w:p>
      <w:pPr>
        <w:spacing w:after="0" w:line="185" w:lineRule="exact"/>
        <w:rPr>
          <w:rFonts w:ascii="Times New Roman" w:cs="Times New Roman" w:eastAsia="Times New Roman" w:hAnsi="Times New Roman"/>
          <w:sz w:val="18"/>
          <w:szCs w:val="18"/>
          <w:color w:val="auto"/>
        </w:rPr>
      </w:pPr>
    </w:p>
    <w:p>
      <w:pPr>
        <w:jc w:val="both"/>
        <w:ind w:left="-460" w:firstLine="644"/>
        <w:spacing w:after="0" w:line="252" w:lineRule="auto"/>
        <w:tabs>
          <w:tab w:leader="none" w:pos="84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Conflicts with Sanctions Laws</w:t>
      </w:r>
      <w:r>
        <w:rPr>
          <w:rFonts w:ascii="Times New Roman" w:cs="Times New Roman" w:eastAsia="Times New Roman" w:hAnsi="Times New Roman"/>
          <w:sz w:val="18"/>
          <w:szCs w:val="18"/>
          <w:color w:val="auto"/>
        </w:rPr>
        <w:t>. Neither the Company nor any of its subsidiaries, directors, officers or employees, nor,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knowledge of the Company or the Guarantor, any agent, affiliate or other person associated with or acting on behalf of the Company or any of its subsidiaries is currently the subject or the target of any sanctions administered or enforced by the U.S. government, (including, without limitation, the Office of Foreign Assets Control of the U.S. Department of the Treasury or the U.S. Department of State and including, without limitation, the designation as a “specially designated national” or “blocked person”), the United Nations Security Council, the European Union, His Majesty’s Treasury, the Swiss Secretariat of Economic Affairs, the Hong Kong Monetary Authority, the Monetary Authority of Singapore or other relevant sanctions authority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nor is the Company or any of its subsidiaries located, organized or resident in a country or territory that is the subject or target of Sanctions, including, without limitation, Cuba, Iran, North Korea, Syria, the Crimea Region of Ukraine, the so-called Donetsk People’s Republic, the so-called Luhansk People’s Republic, any other Covered Region of Ukraine identified pursuant to Executive Order 14065, the Crimea region of Ukraine and the non-government controlled areas of the Zaporizhzhia and Kherson Regions of Ukraine (each, a “</w:t>
      </w:r>
      <w:r>
        <w:rPr>
          <w:rFonts w:ascii="Times New Roman" w:cs="Times New Roman" w:eastAsia="Times New Roman" w:hAnsi="Times New Roman"/>
          <w:sz w:val="18"/>
          <w:szCs w:val="18"/>
          <w:b w:val="1"/>
          <w:bCs w:val="1"/>
          <w:color w:val="auto"/>
        </w:rPr>
        <w:t>Sanctioned Country</w:t>
      </w:r>
      <w:r>
        <w:rPr>
          <w:rFonts w:ascii="Times New Roman" w:cs="Times New Roman" w:eastAsia="Times New Roman" w:hAnsi="Times New Roman"/>
          <w:sz w:val="18"/>
          <w:szCs w:val="18"/>
          <w:color w:val="auto"/>
        </w:rPr>
        <w:t>”); and the Company will not directly or indirectly use the proceeds of the offering of the Notes hereunder, or lend, or knowingly contribute or otherwise make available such proceeds to any subsidiary, joint venture partner or other person or entity (i) to fund or facilitate any activities of or business with any person that, at the time of such funding or facilitation, is the subject or target of Sanctions, (ii) to fund or facilitate any activities of or business in any Sanctioned Country or (iii) in any other manner that will result in a violation by any person (including any person participating in the transaction, whether as underwriter, initial purchaser, advisor, investor or otherwise) of Sanctions. Since April 24, 2019, the Company and its subsidiaries have not knowingly engaged in, and are not now knowingly engaged in and will not knowingly engage in, any dealings or transactions with any person that at the time of the dealing or transaction is or was the subject or the target of Sanctions or with any Sanctioned Country.</w:t>
      </w:r>
    </w:p>
    <w:p>
      <w:pPr>
        <w:spacing w:after="0" w:line="36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9" w:right="339" w:bottom="1440" w:gutter="0" w:footer="0" w:header="0"/>
        </w:sectPr>
      </w:pPr>
    </w:p>
    <w:bookmarkStart w:id="17" w:name="page18"/>
    <w:bookmarkEnd w:id="17"/>
    <w:p>
      <w:pPr>
        <w:jc w:val="both"/>
        <w:ind w:firstLine="656"/>
        <w:spacing w:after="0" w:line="257" w:lineRule="auto"/>
        <w:tabs>
          <w:tab w:leader="none" w:pos="12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Purchase, Sale and Delivery of Offered Securities. </w:t>
      </w:r>
      <w:r>
        <w:rPr>
          <w:rFonts w:ascii="Times New Roman" w:cs="Times New Roman" w:eastAsia="Times New Roman" w:hAnsi="Times New Roman"/>
          <w:sz w:val="18"/>
          <w:szCs w:val="18"/>
          <w:color w:val="auto"/>
        </w:rPr>
        <w:t>The Company agrees to sell to the several Underwriters as provided in this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each Underwriter, on the basis of the representations, warranties and agreements set forth herein and subject to the conditions set forth herein, agrees, severally and not jointly, to purchase from the Company, the principal amount of the Notes set forth opposite such Underwriter’s name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at a price equal to 99.287% of the principal amount thereof, plus accrued interest, if any, from March 20, 2025 to the Closing Date (as defined below). The Company will not be obligated to deliver any of the Offered Securities except upon payment for all the Offered Securities to be purchased as provided herein.</w:t>
      </w:r>
    </w:p>
    <w:p>
      <w:pPr>
        <w:spacing w:after="0" w:line="1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understands that the Underwriters intend to make a public offering of the Offered Securities as soon after the effectiveness of this Agreement as in the judgment of the Representatives is advisable, and to offer the Offered Securities on the terms set forth in the Final Prospectus. The Company acknowledges and agrees that the Underwriters may offer and sell Offered Securities to or through any affiliate of an Underwriter and that any such affiliate may offer and sell Offered Securities purchased by it to or through any Underwriter, provided that such affiliate offer the Offered Securities on the terms set forth in the Final Prospectus.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Payment for the Offered Securities shall be made by the Underwriters in Federal (same day) funds by wire transfer to an account at a bank specified in writing to the Representatives, at 9:00 a.m., (New York time), on March 20, 2025, or at such other time not later than seven full business days thereafter as the Representatives and the Company determine, such time being herein referred to as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against delivery to the Trustee as custodian for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for the account of the Underwriters, of one or more global notes representing each series of the Offered Securities (collectively, the “</w:t>
      </w:r>
      <w:r>
        <w:rPr>
          <w:rFonts w:ascii="Times New Roman" w:cs="Times New Roman" w:eastAsia="Times New Roman" w:hAnsi="Times New Roman"/>
          <w:sz w:val="18"/>
          <w:szCs w:val="18"/>
          <w:b w:val="1"/>
          <w:bCs w:val="1"/>
          <w:color w:val="auto"/>
        </w:rPr>
        <w:t>Global Notes</w:t>
      </w:r>
      <w:r>
        <w:rPr>
          <w:rFonts w:ascii="Times New Roman" w:cs="Times New Roman" w:eastAsia="Times New Roman" w:hAnsi="Times New Roman"/>
          <w:sz w:val="18"/>
          <w:szCs w:val="18"/>
          <w:color w:val="auto"/>
        </w:rPr>
        <w:t>”). The Global Notes will be made available electronically for inspection by the Representatives at least 24 hours prior to the Closing Date.</w:t>
      </w:r>
    </w:p>
    <w:p>
      <w:pPr>
        <w:spacing w:after="0" w:line="185" w:lineRule="exact"/>
        <w:rPr>
          <w:sz w:val="20"/>
          <w:szCs w:val="20"/>
          <w:color w:val="auto"/>
        </w:rPr>
      </w:pPr>
    </w:p>
    <w:p>
      <w:pPr>
        <w:ind w:left="1380" w:hanging="724"/>
        <w:spacing w:after="0"/>
        <w:tabs>
          <w:tab w:leader="none" w:pos="1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Certain Agreements of the Company and the Guarantor. </w:t>
      </w:r>
      <w:r>
        <w:rPr>
          <w:rFonts w:ascii="Times New Roman" w:cs="Times New Roman" w:eastAsia="Times New Roman" w:hAnsi="Times New Roman"/>
          <w:sz w:val="18"/>
          <w:szCs w:val="18"/>
          <w:color w:val="auto"/>
        </w:rPr>
        <w:t>Each of the Company and the Guarantor agrees with the several Underwriters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w:t>
      </w:r>
    </w:p>
    <w:p>
      <w:pPr>
        <w:spacing w:after="0" w:line="205" w:lineRule="exact"/>
        <w:rPr>
          <w:sz w:val="20"/>
          <w:szCs w:val="20"/>
          <w:color w:val="auto"/>
        </w:rPr>
      </w:pPr>
    </w:p>
    <w:p>
      <w:pPr>
        <w:jc w:val="both"/>
        <w:ind w:left="660" w:firstLine="644"/>
        <w:spacing w:after="0" w:line="257" w:lineRule="auto"/>
        <w:tabs>
          <w:tab w:leader="none" w:pos="202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Filing of Prospectuses and Issuer Free Writing Prospectuses. </w:t>
      </w:r>
      <w:r>
        <w:rPr>
          <w:rFonts w:ascii="Times New Roman" w:cs="Times New Roman" w:eastAsia="Times New Roman" w:hAnsi="Times New Roman"/>
          <w:sz w:val="18"/>
          <w:szCs w:val="18"/>
          <w:color w:val="auto"/>
        </w:rPr>
        <w:t>The Company has filed or will file each Statutory Prospectus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(including the Final Prospectus) pursuant to and in accordance with Rule 424(b) not later than the second business day following the earlier of the date it is first used or the execution and delivery of this Agreement and will file any Issuer Free Writing Prospectus (including the term sheet in the form of Annex I to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hereto) to the extent required by Rule 433 under the Act. The Company will advise the Representatives promptly of any such filing pursuant to Rule 424(b) and provide satisfactory evidence to the Representatives of such timely filing. The Company has complied and will comply with Rule 433.</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 w:name="page19"/>
    <w:bookmarkEnd w:id="18"/>
    <w:p>
      <w:pPr>
        <w:jc w:val="both"/>
        <w:ind w:left="-460" w:firstLine="644"/>
        <w:spacing w:after="0" w:line="254" w:lineRule="auto"/>
        <w:tabs>
          <w:tab w:leader="none" w:pos="9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Filing of Amendments: Response to Commission Requests. </w:t>
      </w:r>
      <w:r>
        <w:rPr>
          <w:rFonts w:ascii="Times New Roman" w:cs="Times New Roman" w:eastAsia="Times New Roman" w:hAnsi="Times New Roman"/>
          <w:sz w:val="18"/>
          <w:szCs w:val="18"/>
          <w:color w:val="auto"/>
        </w:rPr>
        <w:t>The Company will promptly advise the Representatives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proposal to amend or supplement at any time the Registration Statement or any Statutory Prospectus and will not effect such amendment or supplementation without the Representatives’ consent, which shall not be unreasonably withheld; and the Company will also advise the Representatives promptly of (i) any amendment or supplementation of a Registration Statement or the Statutory Prospectus, (ii) any request by the Commission or its staff for any amendment to the Registration Statement, for any supplement to any Statutory Prospectus or for any additional information, (iii) the institution by the Commission of any stop order proceedings in respect of the Registration Statement or the threatening of any proceeding for that purpose, and (iv) the receipt by the Company of any notification with respect to the suspension of the qualification of the Offered Securities in any jurisdiction or the institution or threatening of any proceedings for such purpose. The Company will use its reasonable best efforts to prevent the issuance of any such stop order or the suspension of any such qualification and, if issued, to obtain as soon as possible the withdrawal thereof.</w:t>
      </w:r>
    </w:p>
    <w:p>
      <w:pPr>
        <w:spacing w:after="0" w:line="185"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77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Final Term Sheet</w:t>
      </w:r>
      <w:r>
        <w:rPr>
          <w:rFonts w:ascii="Times New Roman" w:cs="Times New Roman" w:eastAsia="Times New Roman" w:hAnsi="Times New Roman"/>
          <w:sz w:val="18"/>
          <w:szCs w:val="18"/>
          <w:color w:val="auto"/>
        </w:rPr>
        <w:t>. The Company will prepare a final term sheet containing only a description of the Offered Securities, in a 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approved by the Underwriters and attached as Annex I to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hereto, and will file such term sheet pursuant to Rule 433(d) under the Act within the time required by such rule (such term sheet, the “</w:t>
      </w:r>
      <w:r>
        <w:rPr>
          <w:rFonts w:ascii="Times New Roman" w:cs="Times New Roman" w:eastAsia="Times New Roman" w:hAnsi="Times New Roman"/>
          <w:sz w:val="18"/>
          <w:szCs w:val="18"/>
          <w:b w:val="1"/>
          <w:bCs w:val="1"/>
          <w:color w:val="auto"/>
        </w:rPr>
        <w:t>Term Sheet</w:t>
      </w:r>
      <w:r>
        <w:rPr>
          <w:rFonts w:ascii="Times New Roman" w:cs="Times New Roman" w:eastAsia="Times New Roman" w:hAnsi="Times New Roman"/>
          <w:sz w:val="18"/>
          <w:szCs w:val="18"/>
          <w:color w:val="auto"/>
        </w:rPr>
        <w:t>”). Any such Term Sheet is a Permitted Free Writing Prospectus for purposes of this Agreement.</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80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Continued Compliance with Securities Laws. </w:t>
      </w:r>
      <w:r>
        <w:rPr>
          <w:rFonts w:ascii="Times New Roman" w:cs="Times New Roman" w:eastAsia="Times New Roman" w:hAnsi="Times New Roman"/>
          <w:sz w:val="18"/>
          <w:szCs w:val="18"/>
          <w:color w:val="auto"/>
        </w:rPr>
        <w:t>If, at any time when a prospectus relating to the Offered Securities is (or but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exemption in Rule 172 would be) required to be delivered under the Act by any Underwriter or dealer, any event occurs as a result of which the Final Prospectus as then amended or supplemented would include an untrue statement of a material fact or omit to state any material fact necessary to make the statements therein, in the light of the circumstances under which they were made, not misleading, or if it is necessary at any time to amend the Registration Statement or supplement the Final Prospectus to comply with the Act, the Company will promptly notify the Representatives of such event and will promptly prepare and file with the Commission and furnish, at its own expense, to the Underwriters and the dealers and any other dealers upon request of the Representatives, an amendment or supplement which will correct such statement or omission or an amendment which will effect such compliance. Neither the Representatives’ consent to, nor the Underwriters’ delivery of, any such amendment or supplement shall constitute a waiver of any of the conditions set forth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hereof.</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67" w:lineRule="auto"/>
        <w:tabs>
          <w:tab w:leader="none" w:pos="87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Rule 158. </w:t>
      </w:r>
      <w:r>
        <w:rPr>
          <w:rFonts w:ascii="Times New Roman" w:cs="Times New Roman" w:eastAsia="Times New Roman" w:hAnsi="Times New Roman"/>
          <w:sz w:val="18"/>
          <w:szCs w:val="18"/>
          <w:color w:val="auto"/>
        </w:rPr>
        <w:t>As soon as practicable, but not later than 16 months after the date hereof the Company will make generally available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its security holders an earnings statement covering a period of at least 12 months beginning after the date hereof and satisfying the provisions of Section 11(a) of the Act and Rule 158 under the Act.</w:t>
      </w:r>
    </w:p>
    <w:p>
      <w:pPr>
        <w:spacing w:after="0" w:line="173"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83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Furnishing of Prospectuses. </w:t>
      </w:r>
      <w:r>
        <w:rPr>
          <w:rFonts w:ascii="Times New Roman" w:cs="Times New Roman" w:eastAsia="Times New Roman" w:hAnsi="Times New Roman"/>
          <w:sz w:val="18"/>
          <w:szCs w:val="18"/>
          <w:color w:val="auto"/>
        </w:rPr>
        <w:t>The Company will furnish to the Representatives copies of the Registration Statement, including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exhibits, and upon the request of the Representatives, signed copies of the Registration Statement, any Statutory Prospectus, and, so long as a prospectus relating to the Offered Securities is (or but for the exemption in Rule 172 would be) required to be delivered under the Act, the Final Prospectus and all amendments and supplements to such documents, in each case in such quantities as the Representatives reasonably request. The Final Prospectus shall be so furnished within two business days following the execution and delivery of this Agreement unless otherwise agreed by the Company and the Representative. All other such documents shall be so furnished as soon as reasonably available. The Company will pay the expenses of printing and distributing to the Underwriters all such documents.</w:t>
      </w:r>
    </w:p>
    <w:p>
      <w:pPr>
        <w:spacing w:after="0" w:line="182" w:lineRule="exact"/>
        <w:rPr>
          <w:rFonts w:ascii="Times New Roman" w:cs="Times New Roman" w:eastAsia="Times New Roman" w:hAnsi="Times New Roman"/>
          <w:sz w:val="18"/>
          <w:szCs w:val="18"/>
          <w:color w:val="auto"/>
        </w:rPr>
      </w:pPr>
    </w:p>
    <w:p>
      <w:pPr>
        <w:jc w:val="both"/>
        <w:ind w:left="-460" w:firstLine="644"/>
        <w:spacing w:after="0" w:line="257" w:lineRule="auto"/>
        <w:tabs>
          <w:tab w:leader="none" w:pos="89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Blue Sky Qualifications. </w:t>
      </w:r>
      <w:r>
        <w:rPr>
          <w:rFonts w:ascii="Times New Roman" w:cs="Times New Roman" w:eastAsia="Times New Roman" w:hAnsi="Times New Roman"/>
          <w:sz w:val="18"/>
          <w:szCs w:val="18"/>
          <w:color w:val="auto"/>
        </w:rPr>
        <w:t>The Company shall cooperate with the Underwriters and counsel for the Underwriters to qualify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register the Offered Securities for resale under (or obtain exemptions from the application of) the U.S. state securities or blue sky laws of those jurisdictions designated by the Underwriters, shall comply with such laws and shall continue such qualifications, registrations and exemptions in effect so long as required for the distribution of the Offered Securities. The Company shall not be required to qualify as a foreign corporation or to take any action that would subject it to general service of process or taxation in any such jurisdiction where it is not presently qualified or subject to taxation.</w:t>
      </w:r>
    </w:p>
    <w:p>
      <w:pPr>
        <w:spacing w:after="0" w:line="35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9" w:right="339" w:bottom="1440" w:gutter="0" w:footer="0" w:header="0"/>
        </w:sectPr>
      </w:pPr>
    </w:p>
    <w:bookmarkStart w:id="19" w:name="page20"/>
    <w:bookmarkEnd w:id="19"/>
    <w:p>
      <w:pPr>
        <w:ind w:left="1304" w:hanging="656"/>
        <w:spacing w:after="0"/>
        <w:tabs>
          <w:tab w:leader="none" w:pos="130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Reserved.</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53" w:lineRule="auto"/>
        <w:tabs>
          <w:tab w:leader="none" w:pos="125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 of Expenses</w:t>
      </w:r>
      <w:r>
        <w:rPr>
          <w:rFonts w:ascii="Times New Roman" w:cs="Times New Roman" w:eastAsia="Times New Roman" w:hAnsi="Times New Roman"/>
          <w:sz w:val="18"/>
          <w:szCs w:val="18"/>
          <w:color w:val="auto"/>
        </w:rPr>
        <w:t>. The Company and the Guarantor will pay all expenses incident to the performance of its obligations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Agreement and the Indenture, including but not limited to (i) the fees and expenses of the Trustee and its professional advisors, (ii) any filing fees and reasonable attorney’s fees and expenses incurred by the Company or the Guarantor or the Underwriters in connection with qualifying or registering (or obtaining exemptions from the qualification or registration of) all or any part of the Offered Securities for offer and sale under the state securities or blue sky laws of such jurisdictions as the Representatives designate and the preparation and printing of memoranda relating thereto, (iii) the filing fees incident to, and the reasonable fees and expenses of counsel for the Underwriters, in an amount not to exceed $20,000, in connection with, the FINRA’s review and approval of the Underwriters’ participation in the offering and distribution of the Offered Securities,</w:t>
      </w:r>
    </w:p>
    <w:p>
      <w:pPr>
        <w:spacing w:after="0" w:line="4" w:lineRule="exact"/>
        <w:rPr>
          <w:rFonts w:ascii="Times New Roman" w:cs="Times New Roman" w:eastAsia="Times New Roman" w:hAnsi="Times New Roman"/>
          <w:sz w:val="18"/>
          <w:szCs w:val="18"/>
          <w:color w:val="auto"/>
        </w:rPr>
      </w:pPr>
    </w:p>
    <w:p>
      <w:pPr>
        <w:jc w:val="both"/>
        <w:ind w:left="4" w:hanging="4"/>
        <w:spacing w:after="0" w:line="251" w:lineRule="auto"/>
        <w:tabs>
          <w:tab w:leader="none" w:pos="31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in connection with the registration of the Offered Securities under the Exchange Act, (v) expenses incurred in distributing preliminary prospectuses and the Final Prospectus (including any amendments and supplements thereto) to the Underwriters and expenses incurred in preparing, printing and distributing any Issuer Free Writing Prospectuses to investors or prospective investors, (vi) any fees charged by investment rating agencies for the rating of the Offered Securities, and (vii) all other fees, costs and expenses referred to in Item 14 of Part II of the Registration Statement. The Company and the Guarantor will also pay or reimburse the Underwriters (to the extent incurred by them) for costs and expenses of the Company’s officers and employees and any other expenses of the Company and the Guarantor relating to investor presentations or any “road show” in connection with the offering and sale of the Offered Securities including, without limitation, any travel expenses of the Company’s and the Guarantor’s officers and employees, provided, however, that the Underwriters will pay 50% of the costs and expenses of any chartered flight. Except as provided in this Agreement, the Underwriters shall pay all of their own costs and expenses, including the fees and disbursement of their counsel.</w:t>
      </w:r>
    </w:p>
    <w:p>
      <w:pPr>
        <w:spacing w:after="0" w:line="190" w:lineRule="exact"/>
        <w:rPr>
          <w:rFonts w:ascii="Times New Roman" w:cs="Times New Roman" w:eastAsia="Times New Roman" w:hAnsi="Times New Roman"/>
          <w:sz w:val="18"/>
          <w:szCs w:val="18"/>
          <w:color w:val="auto"/>
        </w:rPr>
      </w:pPr>
    </w:p>
    <w:p>
      <w:pPr>
        <w:ind w:left="4" w:firstLine="644"/>
        <w:spacing w:after="0" w:line="284" w:lineRule="auto"/>
        <w:tabs>
          <w:tab w:leader="none" w:pos="12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The Company will use the net proceeds received in connection with this offering in the manner described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 of Proceeds” section of the General Disclosure Package.</w:t>
      </w:r>
    </w:p>
    <w:p>
      <w:pPr>
        <w:spacing w:after="0" w:line="158" w:lineRule="exact"/>
        <w:rPr>
          <w:rFonts w:ascii="Times New Roman" w:cs="Times New Roman" w:eastAsia="Times New Roman" w:hAnsi="Times New Roman"/>
          <w:sz w:val="18"/>
          <w:szCs w:val="18"/>
          <w:color w:val="auto"/>
        </w:rPr>
      </w:pPr>
    </w:p>
    <w:p>
      <w:pPr>
        <w:jc w:val="both"/>
        <w:ind w:left="4" w:firstLine="644"/>
        <w:spacing w:after="0" w:line="258" w:lineRule="auto"/>
        <w:tabs>
          <w:tab w:leader="none" w:pos="138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Absence of Manipulation</w:t>
      </w:r>
      <w:r>
        <w:rPr>
          <w:rFonts w:ascii="Times New Roman" w:cs="Times New Roman" w:eastAsia="Times New Roman" w:hAnsi="Times New Roman"/>
          <w:sz w:val="18"/>
          <w:szCs w:val="18"/>
          <w:color w:val="auto"/>
        </w:rPr>
        <w:t>. In connection with the offering, until the Representatives shall have notified the Company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Underwriters of the completion of the resale of the Offered Securities, neither the Company, its subsidiaries nor any of their affiliates will, either alone or with one or more other persons, bid for or purchase for any account in which it or any of its affiliates has a beneficial interest any Offered Securities or attempt to induce any person to purchase any Offered Securities; and neither it nor any of its affiliates will make bids or purchases for the purpose of creating actual, or apparent, active trading in, or of raising the price of, the Offered Securities.</w:t>
      </w:r>
    </w:p>
    <w:p>
      <w:pPr>
        <w:spacing w:after="0" w:line="183"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132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Restriction on Sale of Securities</w:t>
      </w:r>
      <w:r>
        <w:rPr>
          <w:rFonts w:ascii="Times New Roman" w:cs="Times New Roman" w:eastAsia="Times New Roman" w:hAnsi="Times New Roman"/>
          <w:sz w:val="18"/>
          <w:szCs w:val="18"/>
          <w:color w:val="auto"/>
        </w:rPr>
        <w:t>. During the period from the date hereof through and including the Closing Date,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not, without the prior written consent of the Representatives, offer, sell, contract to sell or otherwise dispose of any debt securities issued by the Company and having a tenor of more than one year; provided that, for the avoidance of doubt, such restriction shall not apply to any redemption or repurchase by the Company of any of its debt securities.</w:t>
      </w:r>
    </w:p>
    <w:p>
      <w:pPr>
        <w:spacing w:after="0" w:line="179" w:lineRule="exact"/>
        <w:rPr>
          <w:rFonts w:ascii="Times New Roman" w:cs="Times New Roman" w:eastAsia="Times New Roman" w:hAnsi="Times New Roman"/>
          <w:sz w:val="18"/>
          <w:szCs w:val="18"/>
          <w:color w:val="auto"/>
        </w:rPr>
      </w:pPr>
    </w:p>
    <w:p>
      <w:pPr>
        <w:ind w:left="4" w:firstLine="644"/>
        <w:spacing w:after="0" w:line="284" w:lineRule="auto"/>
        <w:tabs>
          <w:tab w:leader="none" w:pos="148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Eligibility for Clearance</w:t>
      </w:r>
      <w:r>
        <w:rPr>
          <w:rFonts w:ascii="Times New Roman" w:cs="Times New Roman" w:eastAsia="Times New Roman" w:hAnsi="Times New Roman"/>
          <w:sz w:val="18"/>
          <w:szCs w:val="18"/>
          <w:color w:val="auto"/>
        </w:rPr>
        <w:t>. The Company and the Guarantor will reasonably assist the Underwriters to permit the Offered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to be eligible for clearance and settlement through the facilities of DTC.</w:t>
      </w:r>
    </w:p>
    <w:p>
      <w:pPr>
        <w:spacing w:after="0" w:line="331" w:lineRule="exact"/>
        <w:rPr>
          <w:sz w:val="20"/>
          <w:szCs w:val="20"/>
          <w:color w:val="auto"/>
        </w:rPr>
      </w:pPr>
    </w:p>
    <w:p>
      <w:pPr>
        <w:ind w:left="4844"/>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9" w:right="339" w:bottom="1440" w:gutter="0" w:footer="0" w:header="0"/>
        </w:sectPr>
      </w:pPr>
    </w:p>
    <w:bookmarkStart w:id="20" w:name="page21"/>
    <w:bookmarkEnd w:id="20"/>
    <w:p>
      <w:pPr>
        <w:jc w:val="both"/>
        <w:ind w:firstLine="656"/>
        <w:spacing w:after="0" w:line="255" w:lineRule="auto"/>
        <w:tabs>
          <w:tab w:leader="none" w:pos="133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Free Writing Communications. </w:t>
      </w:r>
      <w:r>
        <w:rPr>
          <w:rFonts w:ascii="Times New Roman" w:cs="Times New Roman" w:eastAsia="Times New Roman" w:hAnsi="Times New Roman"/>
          <w:sz w:val="18"/>
          <w:szCs w:val="18"/>
          <w:color w:val="auto"/>
        </w:rPr>
        <w:t>Each of the Company and the Guarantor represents and agrees that, unless it obtains the prior consent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Representatives, and each Underwriter severally represents and agrees that, unless it obtains the prior consent of the Company and the Representatives, it has not made and will not make any offer relating to the Offered Securities that would constitute an Issuer Free Writing Prospectus, or that would otherwise constitute a “free writing prospectus,” as defined in Rule 405, required to be filed with the Commission. Any such free writing prospectus consented to by the Company and the Representatives (including the term sheet in the form of Annex I to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hereto) is hereinafter referred to as a “</w:t>
      </w:r>
      <w:r>
        <w:rPr>
          <w:rFonts w:ascii="Times New Roman" w:cs="Times New Roman" w:eastAsia="Times New Roman" w:hAnsi="Times New Roman"/>
          <w:sz w:val="18"/>
          <w:szCs w:val="18"/>
          <w:b w:val="1"/>
          <w:bCs w:val="1"/>
          <w:color w:val="auto"/>
        </w:rPr>
        <w:t>Permitted Free Writing Prospectus</w:t>
      </w:r>
      <w:r>
        <w:rPr>
          <w:rFonts w:ascii="Times New Roman" w:cs="Times New Roman" w:eastAsia="Times New Roman" w:hAnsi="Times New Roman"/>
          <w:sz w:val="18"/>
          <w:szCs w:val="18"/>
          <w:color w:val="auto"/>
        </w:rPr>
        <w:t>.” The Company represents that it has treated and agrees that it will treat each Permitted Free Writing Prospectus as an “issuer free writing prospectus,” as defined in Rule 433, and has complied and will comply with the requirements of Rules 164 and 433 applicable to any Permitted Free Writing Prospectus, including timely Commission filing where required, legending and record keeping.</w:t>
      </w:r>
    </w:p>
    <w:p>
      <w:pPr>
        <w:spacing w:after="0" w:line="184" w:lineRule="exact"/>
        <w:rPr>
          <w:rFonts w:ascii="Times New Roman" w:cs="Times New Roman" w:eastAsia="Times New Roman" w:hAnsi="Times New Roman"/>
          <w:sz w:val="18"/>
          <w:szCs w:val="18"/>
          <w:color w:val="auto"/>
        </w:rPr>
      </w:pPr>
    </w:p>
    <w:p>
      <w:pPr>
        <w:jc w:val="both"/>
        <w:ind w:firstLine="656"/>
        <w:spacing w:after="0" w:line="258" w:lineRule="auto"/>
        <w:tabs>
          <w:tab w:leader="none" w:pos="142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Conditions of the Obligations of the Underwriters</w:t>
      </w:r>
      <w:r>
        <w:rPr>
          <w:rFonts w:ascii="Times New Roman" w:cs="Times New Roman" w:eastAsia="Times New Roman" w:hAnsi="Times New Roman"/>
          <w:sz w:val="18"/>
          <w:szCs w:val="18"/>
          <w:color w:val="auto"/>
        </w:rPr>
        <w:t>. The obligations of the several Underwriters to purchase and pay for the Offered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will be subject to the accuracy of the representations and warranties of each of the Company and the Guarantor herein on the date hereof and on the Closing Date (as though made on the Closing Date), to the accuracy of the statements of officers of each of the Company and the Guarantor made pursuant to the provisions hereof, to the performance by each of the Company and the Guarantor of their respective obligations hereunder and to the following additional conditions precedent:</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202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Grant Thornton Comfort Letters</w:t>
      </w:r>
      <w:r>
        <w:rPr>
          <w:rFonts w:ascii="Times New Roman" w:cs="Times New Roman" w:eastAsia="Times New Roman" w:hAnsi="Times New Roman"/>
          <w:sz w:val="18"/>
          <w:szCs w:val="18"/>
          <w:color w:val="auto"/>
        </w:rPr>
        <w:t>. The Representatives shall have received letters, dated respectively the date hereof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Closing Date, of Grant Thornton LLP, confirming that it is a registered public accounting firm and independent public accountant within the meaning of the Securities Laws, in form and substance reasonably satisfactory to the Underwriters concerning the financial information with respect to the Company and Endeavor set forth in the General Disclosure Package and the Final Prospectus.</w:t>
      </w:r>
    </w:p>
    <w:p>
      <w:pPr>
        <w:spacing w:after="0" w:line="179"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8" w:lineRule="auto"/>
        <w:tabs>
          <w:tab w:leader="none" w:pos="203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Reserve Engineer Letters</w:t>
      </w:r>
      <w:r>
        <w:rPr>
          <w:rFonts w:ascii="Times New Roman" w:cs="Times New Roman" w:eastAsia="Times New Roman" w:hAnsi="Times New Roman"/>
          <w:sz w:val="18"/>
          <w:szCs w:val="18"/>
          <w:color w:val="auto"/>
        </w:rPr>
        <w:t>. The Representatives shall have received letters, dated respectively the date hereof and the Closing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of Ryder Scott, with respect to the Company and Viper, and Netherland Sewell, with respect to Endeavor, in form and substance reasonably acceptable to the Representatives, containing statements and information in the type customarily included in such letters to underwriters with respect to the reserves and other operational information contained or incorporated by reference in the General Disclosure Package and the Final Prospectus.</w:t>
      </w:r>
    </w:p>
    <w:p>
      <w:pPr>
        <w:spacing w:after="0" w:line="183"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202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Filing of Prospectus. </w:t>
      </w:r>
      <w:r>
        <w:rPr>
          <w:rFonts w:ascii="Times New Roman" w:cs="Times New Roman" w:eastAsia="Times New Roman" w:hAnsi="Times New Roman"/>
          <w:sz w:val="18"/>
          <w:szCs w:val="18"/>
          <w:color w:val="auto"/>
        </w:rPr>
        <w:t>The Final Prospectus shall have been filed with the Commission pursuant to Rule 424(b) within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applicable time period prescribed for such filing in accordance with the Rules and Regulations and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xml:space="preserve"> hereof. No stop order suspending the effectiveness of the Registration Statement or of any part thereof shall have been issued and no proceeding for that purpose shall have been instituted or, to the knowledge of the Company or any Underwriter, shall be contemplated by the Commission.</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 w:name="page22"/>
    <w:bookmarkEnd w:id="21"/>
    <w:p>
      <w:pPr>
        <w:jc w:val="both"/>
        <w:ind w:left="-460" w:firstLine="644"/>
        <w:spacing w:after="0" w:line="252" w:lineRule="auto"/>
        <w:tabs>
          <w:tab w:leader="none" w:pos="83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Material Adverse Change</w:t>
      </w:r>
      <w:r>
        <w:rPr>
          <w:rFonts w:ascii="Times New Roman" w:cs="Times New Roman" w:eastAsia="Times New Roman" w:hAnsi="Times New Roman"/>
          <w:sz w:val="18"/>
          <w:szCs w:val="18"/>
          <w:color w:val="auto"/>
        </w:rPr>
        <w:t>. Subsequent to the execution and delivery of this Agreement, there shall not have occurred (i)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or any development or event involving a prospective change, in the condition (financial or otherwise), results of operations, business, properties or prospects of the Company and its subsidiaries, taken as a whole, which, in the judgment of the Representatives, is material and adverse and makes it impractical or inadvisable to proceed with the offer, sale or delivery of the Offered Securities or to enforce contracts for the sale of the Offered Securities; (ii) any downgrading in the rating of any debt securities or preferred stock of the Company or the Guarantor by any “nationally recognized statistical rating organization” (as defined in Section 3(a)(62) of the Exchange Act), or any public announcement that any such organization has under surveillance or review its rating of any debt securities or preferred stock of the Company or the Guarantor (other than an announcement with positive implications of a possible upgrading, and no implication of a possible downgrading, of such rating) or any announcement that the Company or the Guarantor has been placed on negative outlook; (iii) any change in U.S. or international financial, political or economic conditions or currency exchange rates or exchange controls the effect of which is such as to make it, in the judgment of the Representatives, impractical or inadvisable to proceed with the offer, sale or delivery of the Offered Securities or to enforce contracts for the sale of the Offered Securities; (iv) any suspension or material limitation of trading in securities generally on the New York Stock Exchange or the NASDAQ Global Select Market, or any setting of minimum or maximum prices for trading on such exchange; (v) any suspension of trading of any securities of the Company or the Guarantor on any exchange; (vi) any banking moratorium declared by any U.S. federal or New York authorities; (vii) any major disruption of settlements of securities, payment or clearance services in the United States or (viii) any attack on, outbreak or escalation of hostilities or act of terrorism involving the United States, any declaration of war by Congress or any other national or international calamity or emergency if, in the judgment of the Representatives, the effect of any such attack, outbreak, escalation, act, declaration, calamity or emergency is such as to make it impractical or inadvisable to proceed with the offer, sale or delivery of the Offered Securities or to enforce contracts for the sale of the Offered Securities.</w:t>
      </w:r>
    </w:p>
    <w:p>
      <w:pPr>
        <w:spacing w:after="0" w:line="190" w:lineRule="exact"/>
        <w:rPr>
          <w:rFonts w:ascii="Times New Roman" w:cs="Times New Roman" w:eastAsia="Times New Roman" w:hAnsi="Times New Roman"/>
          <w:sz w:val="18"/>
          <w:szCs w:val="18"/>
          <w:color w:val="auto"/>
        </w:rPr>
      </w:pPr>
    </w:p>
    <w:p>
      <w:pPr>
        <w:jc w:val="both"/>
        <w:ind w:left="-460" w:firstLine="644"/>
        <w:spacing w:after="0" w:line="267" w:lineRule="auto"/>
        <w:tabs>
          <w:tab w:leader="none" w:pos="74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Opinion of Counsel for the Company and the Guarantor</w:t>
      </w:r>
      <w:r>
        <w:rPr>
          <w:rFonts w:ascii="Times New Roman" w:cs="Times New Roman" w:eastAsia="Times New Roman" w:hAnsi="Times New Roman"/>
          <w:sz w:val="18"/>
          <w:szCs w:val="18"/>
          <w:color w:val="auto"/>
        </w:rPr>
        <w:t>. The Representatives shall have received an opinion letter and a negative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assurance letter, dated the Closing Date, of Wachtell, Lipton, Rosen &amp; Katz, counsel for the Company and the Guarantor, in form and substance reasonably satisfactory to the Representatives.</w:t>
      </w:r>
    </w:p>
    <w:p>
      <w:pPr>
        <w:spacing w:after="0" w:line="173" w:lineRule="exact"/>
        <w:rPr>
          <w:rFonts w:ascii="Times New Roman" w:cs="Times New Roman" w:eastAsia="Times New Roman" w:hAnsi="Times New Roman"/>
          <w:sz w:val="18"/>
          <w:szCs w:val="18"/>
          <w:color w:val="auto"/>
        </w:rPr>
      </w:pPr>
    </w:p>
    <w:p>
      <w:pPr>
        <w:ind w:left="800" w:hanging="616"/>
        <w:spacing w:after="0"/>
        <w:tabs>
          <w:tab w:leader="none" w:pos="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Reserved.</w:t>
      </w:r>
    </w:p>
    <w:p>
      <w:pPr>
        <w:spacing w:after="0" w:line="225" w:lineRule="exact"/>
        <w:rPr>
          <w:rFonts w:ascii="Times New Roman" w:cs="Times New Roman" w:eastAsia="Times New Roman" w:hAnsi="Times New Roman"/>
          <w:sz w:val="18"/>
          <w:szCs w:val="18"/>
          <w:color w:val="auto"/>
        </w:rPr>
      </w:pPr>
    </w:p>
    <w:p>
      <w:pPr>
        <w:jc w:val="both"/>
        <w:ind w:left="-460" w:firstLine="644"/>
        <w:spacing w:after="0" w:line="267" w:lineRule="auto"/>
        <w:tabs>
          <w:tab w:leader="none" w:pos="85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Opinion of Chief Legal Officer for the Company</w:t>
      </w:r>
      <w:r>
        <w:rPr>
          <w:rFonts w:ascii="Times New Roman" w:cs="Times New Roman" w:eastAsia="Times New Roman" w:hAnsi="Times New Roman"/>
          <w:sz w:val="18"/>
          <w:szCs w:val="18"/>
          <w:color w:val="auto"/>
        </w:rPr>
        <w:t>. The Representatives shall have received an opinion letter, dated the Closing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of P. Matt Zmigrosky, Chief Legal Officer for the Company and the Guarantor, in form and substance reasonably satisfactory to the Representatives.</w:t>
      </w:r>
    </w:p>
    <w:p>
      <w:pPr>
        <w:spacing w:after="0" w:line="173"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80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Opinion of Counsel for the Underwriters</w:t>
      </w:r>
      <w:r>
        <w:rPr>
          <w:rFonts w:ascii="Times New Roman" w:cs="Times New Roman" w:eastAsia="Times New Roman" w:hAnsi="Times New Roman"/>
          <w:sz w:val="18"/>
          <w:szCs w:val="18"/>
          <w:color w:val="auto"/>
        </w:rPr>
        <w:t>. The Representatives shall have received from Latham &amp; Watkins LLP, counsel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Underwriters, such opinion or opinions, dated the Closing Date, with respect to such matters as the Representatives may require, and the Company and the Guarantor shall have furnished to such counsel such documents as they reasonably request for the purpose of enabling them to pass upon such matters.</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54" w:lineRule="auto"/>
        <w:tabs>
          <w:tab w:leader="none" w:pos="80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Officers’ Certificate</w:t>
      </w:r>
      <w:r>
        <w:rPr>
          <w:rFonts w:ascii="Times New Roman" w:cs="Times New Roman" w:eastAsia="Times New Roman" w:hAnsi="Times New Roman"/>
          <w:sz w:val="18"/>
          <w:szCs w:val="18"/>
          <w:color w:val="auto"/>
        </w:rPr>
        <w:t>. The Representatives shall have received a certificate, dated the Closing Date, of an executive officer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the Guarantor and a principal financial or accounting officer of the Company and the Guarantor in which such officers shall state that (i) the representations and warranties of the Company and the Guarantor in this Agreement are true and correct, (ii) the Company and the Guarantor have complied with all agreements and satisfied all conditions on their part to be performed or satisfied hereunder at or prior to the Closing Date, (iii) no stop order suspending the effectiveness of the Registration Statement has been issued and no proceedings for that purpose have been instituted or, to their knowledge, are contemplated by the Commission and (iv) subsequent to the date of the most recent financial statements in the General Disclosure Package there has been no material adverse change, nor has any development or event occurred that would reasonably be expected to have a material adverse change, in the condition (financial or otherwise), results of operations, business, properties or prospects of the Company and its subsidiaries, taken as a whole, except as set forth in the General Disclosure Package or as described in such certificate.</w:t>
      </w:r>
    </w:p>
    <w:p>
      <w:pPr>
        <w:spacing w:after="0" w:line="185" w:lineRule="exact"/>
        <w:rPr>
          <w:rFonts w:ascii="Times New Roman" w:cs="Times New Roman" w:eastAsia="Times New Roman" w:hAnsi="Times New Roman"/>
          <w:sz w:val="18"/>
          <w:szCs w:val="18"/>
          <w:color w:val="auto"/>
        </w:rPr>
      </w:pPr>
    </w:p>
    <w:p>
      <w:pPr>
        <w:ind w:left="800" w:hanging="616"/>
        <w:spacing w:after="0"/>
        <w:tabs>
          <w:tab w:leader="none" w:pos="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DTC Eligibility</w:t>
      </w:r>
      <w:r>
        <w:rPr>
          <w:rFonts w:ascii="Times New Roman" w:cs="Times New Roman" w:eastAsia="Times New Roman" w:hAnsi="Times New Roman"/>
          <w:sz w:val="18"/>
          <w:szCs w:val="18"/>
          <w:color w:val="auto"/>
        </w:rPr>
        <w:t>. The Notes shall be eligible for clearance and settlement through DTC.</w:t>
      </w:r>
    </w:p>
    <w:p>
      <w:pPr>
        <w:spacing w:after="0" w:line="39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9" w:right="339" w:bottom="1440" w:gutter="0" w:footer="0" w:header="0"/>
        </w:sectPr>
      </w:pPr>
    </w:p>
    <w:bookmarkStart w:id="22" w:name="page23"/>
    <w:bookmarkEnd w:id="22"/>
    <w:p>
      <w:pPr>
        <w:ind w:left="660" w:firstLine="644"/>
        <w:spacing w:after="0" w:line="284" w:lineRule="auto"/>
        <w:tabs>
          <w:tab w:leader="none" w:pos="200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Supplemental Indenture</w:t>
      </w:r>
      <w:r>
        <w:rPr>
          <w:rFonts w:ascii="Times New Roman" w:cs="Times New Roman" w:eastAsia="Times New Roman" w:hAnsi="Times New Roman"/>
          <w:sz w:val="18"/>
          <w:szCs w:val="18"/>
          <w:color w:val="auto"/>
        </w:rPr>
        <w:t>. The Underwriters shall have received a counterpart of the Supplemental Indenture with respect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Offered Securities that shall have been validly executed and delivered by each of the Company and the Guarantor and the Trustee.</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and the Guarantor will furnish the Underwriters with any additional customary certificates, letters and documents as the Representatives reasonably request and conformed copies of documents delivered pursuant to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The Representatives may in their sole discretion waive on behalf of the Underwriters compliance with any conditions to the obligations of the Underwriters hereunder, whether in respect of a Closing Date or otherwise.</w:t>
      </w:r>
    </w:p>
    <w:p>
      <w:pPr>
        <w:spacing w:after="0" w:line="178" w:lineRule="exact"/>
        <w:rPr>
          <w:sz w:val="20"/>
          <w:szCs w:val="20"/>
          <w:color w:val="auto"/>
        </w:rPr>
      </w:pPr>
    </w:p>
    <w:p>
      <w:pPr>
        <w:ind w:left="1280" w:hanging="624"/>
        <w:spacing w:after="0"/>
        <w:tabs>
          <w:tab w:leader="none" w:pos="12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and Contribution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2" w:lineRule="auto"/>
        <w:tabs>
          <w:tab w:leader="none" w:pos="202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of the Underwriters</w:t>
      </w:r>
      <w:r>
        <w:rPr>
          <w:rFonts w:ascii="Times New Roman" w:cs="Times New Roman" w:eastAsia="Times New Roman" w:hAnsi="Times New Roman"/>
          <w:sz w:val="18"/>
          <w:szCs w:val="18"/>
          <w:color w:val="auto"/>
        </w:rPr>
        <w:t>. The Company and the Guarantor will indemnify and hold harmless each Underwriter,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 members, directors, officers, employees, agents, affiliates and each person, if any, who controls such Underwriter within the meaning of Section 15 of the Act or Section 20 of the Exchange Act (each, an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against any and all losses, claims, damages or liabilities, joint or several, to which such Indemnified Party may become subject, under the Act, the Exchange Act, other Federal or state statutory law or regulation or otherwise, insofar as such losses, claims, damages or liabilities (or actions in respect thereof) arise out of or are based upon any untrue statement or alleged untrue statement of any material fact contained in any part of the Registration Statement at any time, any Statutory Prospectus as of any time, the General Disclosure Package, the Final Prospectus or any Issuer Free Writing Prospectus, including any investor presentations or any “road show” used in connection with the offering and sale of the Offered Securities, or arise out of or are based upon the omission or alleged omission of a material fact required to be stated therein or necessary to make the statements therein, in the light of the circumstances under which they were made, not misleading, and will reimburse each Indemnified Party for any legal or other expenses reasonably incurred by such Indemnified Party in connection with investigating or defending against any loss, claim, damage, liability, action, litigation, investigation or proceeding whatsoever (whether or not such Indemnified Party is a party thereto), whether threatened or commenced, and in connection with the enforcement of this provision with respect to any of the above as such expenses are incurred; provided, however, that the Company and the Guarantor will not be liable in any such case to the extent that any such loss, claim, damage or liability arises out of or is based upon an untrue statement or alleged untrue statement or omission or alleged omission from any of such documents in reliance upon and in conformity with written information furnished to the Company by any Underwriter through the Representatives specifically for use therein, it being understood and agreed that the only such information furnished by any Underwriter consists of the information described as such in subsection (b) below.</w:t>
      </w:r>
    </w:p>
    <w:p>
      <w:pPr>
        <w:spacing w:after="0" w:line="191" w:lineRule="exact"/>
        <w:rPr>
          <w:rFonts w:ascii="Times New Roman" w:cs="Times New Roman" w:eastAsia="Times New Roman" w:hAnsi="Times New Roman"/>
          <w:sz w:val="18"/>
          <w:szCs w:val="18"/>
          <w:color w:val="auto"/>
        </w:rPr>
      </w:pPr>
    </w:p>
    <w:p>
      <w:pPr>
        <w:jc w:val="both"/>
        <w:ind w:left="660" w:firstLine="644"/>
        <w:spacing w:after="0" w:line="252" w:lineRule="auto"/>
        <w:tabs>
          <w:tab w:leader="none" w:pos="16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of the Company and the Guarantor</w:t>
      </w:r>
      <w:r>
        <w:rPr>
          <w:rFonts w:ascii="Times New Roman" w:cs="Times New Roman" w:eastAsia="Times New Roman" w:hAnsi="Times New Roman"/>
          <w:sz w:val="18"/>
          <w:szCs w:val="18"/>
          <w:color w:val="auto"/>
        </w:rPr>
        <w:t>. Each Underwriter will severally and not jointly indemnify and hold harmless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of the Company and the Guarantor and each of their respective directors, officers, employees, agents and affiliates and each person, if any, who controls the Company or the Guarantor within the meaning of Section 15 of the Act or Section 20 of the Exchange Act (each, an “</w:t>
      </w:r>
      <w:r>
        <w:rPr>
          <w:rFonts w:ascii="Times New Roman" w:cs="Times New Roman" w:eastAsia="Times New Roman" w:hAnsi="Times New Roman"/>
          <w:sz w:val="18"/>
          <w:szCs w:val="18"/>
          <w:b w:val="1"/>
          <w:bCs w:val="1"/>
          <w:color w:val="auto"/>
        </w:rPr>
        <w:t>Underwriter Indemnified Party</w:t>
      </w:r>
      <w:r>
        <w:rPr>
          <w:rFonts w:ascii="Times New Roman" w:cs="Times New Roman" w:eastAsia="Times New Roman" w:hAnsi="Times New Roman"/>
          <w:sz w:val="18"/>
          <w:szCs w:val="18"/>
          <w:color w:val="auto"/>
        </w:rPr>
        <w:t>”), against any and all losses, claims, damages or liabilities to which such Underwriter Indemnified Party may become subject, under the Act, the Exchange Act, or other Federal or state statutory law or regulation or otherwise, insofar as such losses, claims, damages or liabilities (or actions in respect thereof) arise out of or are based upon any untrue statement or alleged untrue statement of any material fact contained in the Registration Statement at any time, any Statutory Prospectus at any time, the Final Prospectus or any Issuer Free Writing Prospectus or arise out of or are based upon the omission or the alleged omission of a material fact required to be stated therein or necessary to make the statements therein not misleading, in each case to the extent, but only to the extent, that such untrue statement or alleged untrue statement or omission or alleged omission was made in reliance upon and in conformity with written information furnished to the Company by such Underwriter through the Representatives specifically for use therein, and will reimburse any legal or other expenses reasonably incurred by such Underwriter Indemnified Party in connection with investigating or defending against any such loss, claim, damage, liability, action, litigation, investigation or proceeding whatsoever (whether or not such Underwriter Indemnified Party is a party thereto), whether threatened or commenced, based upon any such untrue statement or omission, or any such alleged untrue statement or omission as such expenses are incurred, it being understood and agreed that the only such information furnished by any Underwriter consists of the following information in the Final Prospectus furnished on behalf of each Underwriter: the information contained in the first sentence of the fifth paragraph, the third sentence in the eighth paragraph, the eleventh paragraph and the twelfth paragraph, in each case under the caption “Underwriting.”</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3" w:name="page24"/>
    <w:bookmarkEnd w:id="23"/>
    <w:p>
      <w:pPr>
        <w:jc w:val="both"/>
        <w:ind w:left="-460" w:firstLine="644"/>
        <w:spacing w:after="0" w:line="267" w:lineRule="auto"/>
        <w:tabs>
          <w:tab w:leader="none" w:pos="572"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Actions against Parties; Notification</w:t>
      </w:r>
      <w:r>
        <w:rPr>
          <w:rFonts w:ascii="Times New Roman" w:cs="Times New Roman" w:eastAsia="Times New Roman" w:hAnsi="Times New Roman"/>
          <w:sz w:val="17"/>
          <w:szCs w:val="17"/>
          <w:color w:val="auto"/>
        </w:rPr>
        <w:t>. Promptly after receipt by an indemnified party under this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notice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commencement of any action, such indemnified party will, if a claim in respect thereof is to be made against the indemnifying party under subsection (a) or (b) above, notify the indemnifying party of the commencement thereof; but the failure to notify the indemnifying party shall not relieve it from any liability that it may have under subsection (a) or (b) above except to the extent that it has been materially prejudiced (through the forfeiture of substantive rights or defenses) by such failure; and provided further that the failure to notify the indemnifying party shall not relieve it from any liability that it may have to an indemnified party otherwise than under subsection (a) or (b) above. In case any such action is brought against any indemnified party and it notifies the indemnifying party of the commencement thereof, the indemnifying party will be entitled to participate therein and, to the extent that it may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will not be liable to such indemnified party under this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for any legal or other expenses subsequently incurred by such indemnified party in connection with the defense thereof other than reasonable costs of investigation. In any such proceeding, any indemnified party shall have the right to retain its own counsel, but the fees and expenses of such counsel shall be at the expense of such indemnified party unless (i) the indemnifying party and the indemnified party shall have mutually agreed to the contrary; (ii) the indemnifying party has failed within a reasonable time to retain counsel reasonably satisfactory to the indemnified party; (iii) the indemnified party shall have reasonably concluded that there may be legal defenses available to it that are different from or in addition to those available to the indemnifying party; or (iv) the named parties in any such proceeding (including any impleaded parties) include both the indemnifying party and the indemnified party and representation of both parties by the same counsel would be inappropriate due to actual or potential differing interests between them. It is understood and agreed that the indemnifying party shall not, in connection with any proceeding or related proceeding in the same jurisdiction, be liable for the fees and expenses of more than one separate firm (in addition to any local counsel) for all indemnified parties, and that all such fees and expenses shall be reimbursed as they are incurred. No indemnifying party shall, without the prior written consent of the indemnified party, effect any settlement of any pending or threatened action in respect of which any indemnified party is or could have been a party and indemnity could have been sought hereunder by such indemnified party unless such settlement (i) includes an unconditional release of such indemnified party from all liability on any claims that are the subject matter of such action and (ii) does not include a statement as to or an admission of fault, culpability or failure to act by or on behalf of any indemnified party. The indemnifying party shall not be liable for any settlement of any proceeding effected without its written consent(which consent shall not be unreasonably withheld), but if settled with such consent or if there be a final judgment for the plaintiff, the indemnifying party agrees to indemnify each indemnified party from and against any loss or liability by reason of such settlement or judgment.</w:t>
      </w:r>
    </w:p>
    <w:p>
      <w:pPr>
        <w:spacing w:after="0" w:line="200" w:lineRule="exact"/>
        <w:rPr>
          <w:sz w:val="20"/>
          <w:szCs w:val="20"/>
          <w:color w:val="auto"/>
        </w:rPr>
      </w:pPr>
    </w:p>
    <w:p>
      <w:pPr>
        <w:spacing w:after="0" w:line="36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9" w:right="339" w:bottom="1440" w:gutter="0" w:footer="0" w:header="0"/>
        </w:sectPr>
      </w:pPr>
    </w:p>
    <w:bookmarkStart w:id="24" w:name="page25"/>
    <w:bookmarkEnd w:id="24"/>
    <w:p>
      <w:pPr>
        <w:jc w:val="both"/>
        <w:ind w:left="660" w:firstLine="644"/>
        <w:spacing w:after="0" w:line="251" w:lineRule="auto"/>
        <w:tabs>
          <w:tab w:leader="none" w:pos="191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Contribution</w:t>
      </w:r>
      <w:r>
        <w:rPr>
          <w:rFonts w:ascii="Times New Roman" w:cs="Times New Roman" w:eastAsia="Times New Roman" w:hAnsi="Times New Roman"/>
          <w:sz w:val="18"/>
          <w:szCs w:val="18"/>
          <w:color w:val="auto"/>
        </w:rPr>
        <w:t>. If the indemnification provided for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unavailable or insufficient to hold harmless an indemnified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party under subsection (a) or (b) above, then each indemnifying party shall contribute to the amount paid or payable by such indemnified party as a result of the losses, claims, damages or liabilities referred to in subsection (a) or (b) above (i) in such proportion as is appropriate to reflect the relative benefits received by the Company and the Guarantor on the one hand and the Underwriters on the other from the offering of the Offered Securities pursuant to this Agreement or (ii) if the allocation provided by clause (i) above is not permitted by applicable law, in such proportion as is appropriate to reflect not only the relative benefits referred to in clause (i) above but also the relative fault of the Company and the Guarantor on the one hand and the Underwriters on the other in connection with the statements or omissions which resulted in such losses, claims, damages or liabilities as well as any other relevant equitable considerations. The relative benefits received by the Company and the Guarantor on the one hand and the Underwriters on the other shall be deemed to be in the same proportion as the total net proceeds from the offering (before deducting expenses) received by the Company bear to the total discounts and commissions received by the Underwriters from the Company under this Agreement. The relative fault shall be determined by reference to, among other things, whether the untrue or alleged untrue statement of a material fact or the omission or alleged omission to state a material fact relates to information supplied by the Company and the Guarantor or the Underwriters and the parties’ relative intent, knowledge, access to information and opportunity to correct or prevent such untrue statement or omission. No person guilty of fraudulent misrepresentation (within the meaning of Section 11(f) of the Act) shall be entitled to contribution from any person who was not guilty of such fraudulent misrepresentation. The amount paid by an indemnified party as a result of the losses, claims, damages or liabilities referred to in the first sentence of this subsection (d) shall be deemed to include any legal or other expenses reasonably incurred by such indemnified party in connection with investigating or defending any action or claim which is the subject of this subsection (d). Notwithstanding the provisions of this subsection (d), no Underwriter shall be required to contribute any amount in excess of the amount by which the total price at which the Offered Securities purchased by it were resold exceeds the amount of any damages which such Underwriter has otherwise been required to pay by reason of such untrue statement or omission or alleged untrue statement or omission. The Underwriters’ obligations in this subsection (d) to contribute are several in proportion to their respective purchase obligations and not joint. The Company, the Guarantor and the Underwriters agree that it would not be just and equitable if contribution pursuant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(d) were determined by pro rata allocation (even if the Underwriters were treated as one entity for such purpose) or by any other method of allocation which does not take account of the equitable considerations referred to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(d).</w:t>
      </w:r>
    </w:p>
    <w:p>
      <w:pPr>
        <w:spacing w:after="0" w:line="206"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64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remedies provided for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are not exclusive and shall not limit any rights or remedies that may otherwise be available to any indemnified party at law or in equity.</w:t>
      </w:r>
    </w:p>
    <w:p>
      <w:pPr>
        <w:spacing w:after="0" w:line="159" w:lineRule="exact"/>
        <w:rPr>
          <w:rFonts w:ascii="Times New Roman" w:cs="Times New Roman" w:eastAsia="Times New Roman" w:hAnsi="Times New Roman"/>
          <w:sz w:val="18"/>
          <w:szCs w:val="18"/>
          <w:color w:val="auto"/>
        </w:rPr>
      </w:pPr>
    </w:p>
    <w:p>
      <w:pPr>
        <w:jc w:val="both"/>
        <w:ind w:firstLine="656"/>
        <w:spacing w:after="0" w:line="253" w:lineRule="auto"/>
        <w:tabs>
          <w:tab w:leader="none" w:pos="127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Default of Underwriters. </w:t>
      </w:r>
      <w:r>
        <w:rPr>
          <w:rFonts w:ascii="Times New Roman" w:cs="Times New Roman" w:eastAsia="Times New Roman" w:hAnsi="Times New Roman"/>
          <w:sz w:val="18"/>
          <w:szCs w:val="18"/>
          <w:color w:val="auto"/>
        </w:rPr>
        <w:t>If any Underwriter or Underwriters default in their obligations to purchase Offered Securities hereunder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aggregate principal amount of Offered Securities that such defaulting Underwriter or Underwriters agreed but failed to purchase does not exceed 10% of the total principal amount of Offered Securities that the Underwriters are obligated to purchase on the Closing Date, the Representatives may make arrangements satisfactory to the Company for the purchase of such Offered Securities by other persons, including any of the Underwriters, but if no such arrangements are made by the Closing Date, the non-defaulting Underwriters shall be obligated severally, in proportion to their respective commitments hereunder, to purchase the Offered Securities that such defaulting Underwriters agreed but failed to purchase on the Closing Date. If any Underwriter or Underwriters so default and the aggregate principal amount of Offered Securities with respect to which such default or defaults occur exceeds 10% of the total principal amount of Offered Securities that the Underwriters are obligated to purchase on the Closing Date and arrangements satisfactory to the Representatives and the Company for the purchase of such Offered Securities by other persons are not made within 36 hours after such default, this Agreement will terminate without liability on the part of any non-defaulting Underwriter or the Company, except as provided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As used in this Agreement, the term “Underwriter” includes any person substituted for a Underwriter under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Nothing herein will relieve a defaulting Underwriter from liability for its default.</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5" w:name="page26"/>
    <w:bookmarkEnd w:id="25"/>
    <w:p>
      <w:pPr>
        <w:jc w:val="both"/>
        <w:ind w:firstLine="656"/>
        <w:spacing w:after="0" w:line="253" w:lineRule="auto"/>
        <w:tabs>
          <w:tab w:leader="none" w:pos="141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Survival of Certain Representations and Obligations. </w:t>
      </w:r>
      <w:r>
        <w:rPr>
          <w:rFonts w:ascii="Times New Roman" w:cs="Times New Roman" w:eastAsia="Times New Roman" w:hAnsi="Times New Roman"/>
          <w:sz w:val="18"/>
          <w:szCs w:val="18"/>
          <w:color w:val="auto"/>
        </w:rPr>
        <w:t>The respective indemnities, agreements, representations, warranties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statements of the Company, the Guarantor or their respective officers and of the several Underwriters set forth in or made pursuant to this Agreement will remain in full force and effect, regardless of any investigation, or statement as to the results thereof, made by or on behalf of any Underwriter, the Company, the Guarantor or any of their respective Representatives, officers or directors or any controlling person, and will survive delivery of and payment for the Offered Securities. If this Agreement is terminated pursuant to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or if for any reason the purchase of the Offered Securities by the Underwriters is not consummated, the Company and the Guarantor shall remain responsible for the expenses to be paid or reimbursed by them pursuant to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and the respective obligations of the Company and the Guarantor and the Underwriters pursuant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remain in effect. If the purchase of the Offered Securities by the Underwriters is not consummated for any reason other than solely because of the termination of this Agreement pursuant to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or the occurrence of any event specified in clause (iii), (iv), (vi), (vii) or (viii) of </w:t>
      </w:r>
      <w:r>
        <w:rPr>
          <w:rFonts w:ascii="Times New Roman" w:cs="Times New Roman" w:eastAsia="Times New Roman" w:hAnsi="Times New Roman"/>
          <w:sz w:val="18"/>
          <w:szCs w:val="18"/>
          <w:u w:val="single" w:color="auto"/>
          <w:color w:val="auto"/>
        </w:rPr>
        <w:t>Section 5(e)</w:t>
      </w:r>
      <w:r>
        <w:rPr>
          <w:rFonts w:ascii="Times New Roman" w:cs="Times New Roman" w:eastAsia="Times New Roman" w:hAnsi="Times New Roman"/>
          <w:sz w:val="18"/>
          <w:szCs w:val="18"/>
          <w:color w:val="auto"/>
        </w:rPr>
        <w:t xml:space="preserve">, the Company and the Guarantor will reimburse the Underwriters for all accountable out-of-pocket expenses (including fees and disbursements of counsel) reasonably incurred by them in connection with the offering of the Offered Securities. In addition, if any Offered Securities have been purchased hereunder, the representations and warranties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and all obligations under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shall remain in effect.</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Notices. </w:t>
      </w:r>
      <w:r>
        <w:rPr>
          <w:rFonts w:ascii="Times New Roman" w:cs="Times New Roman" w:eastAsia="Times New Roman" w:hAnsi="Times New Roman"/>
          <w:sz w:val="18"/>
          <w:szCs w:val="18"/>
          <w:color w:val="auto"/>
        </w:rPr>
        <w:t>All communications hereunder will be in writing and, if sent to the Underwriters will be mailed, hand-delivered, telecopied or transmitted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electronically and confirmed to the Underwriters, (i) c/o BofA Securities, Inc., 114 West 47th Street, NY8-114-07-01, New York, New York 10036, Attention: High Grade Debt Capital Markets Transaction Management/Legal (fax (212) 901-7881); (ii) Barclays Capital Inc., 745 Seventh Avenue, New York, NY 10019; Attention: Syndicate Registration, Facsimile No.: (646) 834-8133; (iii) c/o PNC Capital Markets LLC, 300 Fifth Avenue, 10th Floor, Pittsburgh, Pennsylvania 15222, Attention: Debt Capital Markets, Fixed Income Transaction Execution, Facsimile: (412) 762-2760 and (iv) c/o TD Securities (USA) LLC, 1 Vanderbilt Avenue, 11th Floor, New York, New York 10017, Attention: DCM-Transaction Advisory, Email: USTransactionadvisory@tdsecurities.com; or, if sent to the Company or the Guarantor, will be mailed, hand-delivered, telecopied or transmitted electronically and confirmed to it at 500 West Texas Ave., Suite 1200, Midland, Texas 79701 Attention: P. Matt Zmigrosky;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any notice to a Underwriter pursuant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will be mailed, hand-delivered, telecopied or transmitted electronically and confirmed to such Underwriter.</w:t>
      </w:r>
    </w:p>
    <w:p>
      <w:pPr>
        <w:spacing w:after="0" w:line="188" w:lineRule="exact"/>
        <w:rPr>
          <w:sz w:val="20"/>
          <w:szCs w:val="20"/>
          <w:color w:val="auto"/>
        </w:rPr>
      </w:pPr>
    </w:p>
    <w:p>
      <w:pPr>
        <w:ind w:firstLine="656"/>
        <w:spacing w:after="0" w:line="284" w:lineRule="auto"/>
        <w:tabs>
          <w:tab w:leader="none" w:pos="135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Successors. </w:t>
      </w:r>
      <w:r>
        <w:rPr>
          <w:rFonts w:ascii="Times New Roman" w:cs="Times New Roman" w:eastAsia="Times New Roman" w:hAnsi="Times New Roman"/>
          <w:sz w:val="18"/>
          <w:szCs w:val="18"/>
          <w:color w:val="auto"/>
        </w:rPr>
        <w:t>This Agreement will inure to the benefit of and be binding upon the parties hereto and their respective successors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officers, directors and controlling persons referred to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and no other person will have any right or obligation hereunder.</w:t>
      </w:r>
    </w:p>
    <w:p>
      <w:pPr>
        <w:spacing w:after="0" w:line="158" w:lineRule="exact"/>
        <w:rPr>
          <w:rFonts w:ascii="Times New Roman" w:cs="Times New Roman" w:eastAsia="Times New Roman" w:hAnsi="Times New Roman"/>
          <w:sz w:val="18"/>
          <w:szCs w:val="18"/>
          <w:color w:val="auto"/>
        </w:rPr>
      </w:pPr>
    </w:p>
    <w:p>
      <w:pPr>
        <w:jc w:val="both"/>
        <w:ind w:firstLine="656"/>
        <w:spacing w:after="0" w:line="256" w:lineRule="auto"/>
        <w:tabs>
          <w:tab w:leader="none" w:pos="127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Counterparts. </w:t>
      </w:r>
      <w:r>
        <w:rPr>
          <w:rFonts w:ascii="Times New Roman" w:cs="Times New Roman" w:eastAsia="Times New Roman" w:hAnsi="Times New Roman"/>
          <w:sz w:val="18"/>
          <w:szCs w:val="18"/>
          <w:color w:val="auto"/>
        </w:rPr>
        <w:t>This Agreement may be executed in two or more counterparts, each of which shall be an original, with the same effect as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signatures thereto and hereto were upon the same instrument, and shall become effective when one or more counterparts have been signed by each of the parties and delivered (by telecopy, electronic delivery or otherwise) to the other parties. Signatures to this Agreement transmitted by facsimile transmission, by electronic mail (including any electronic signature complying with the U.S. federal ESIGN Act of 2000, Uniform Electronic Transactions Act or other applicable law, e.g., www. Docusign.com) in “portable document format” (“.pdf”) form, or by any other electronic means intended to preserve the original graphic and pictorial appearance of a document, will have the same effect as physical delivery of the paper document bearing the original signature.</w:t>
      </w:r>
    </w:p>
    <w:p>
      <w:pPr>
        <w:spacing w:after="0" w:line="182" w:lineRule="exact"/>
        <w:rPr>
          <w:rFonts w:ascii="Times New Roman" w:cs="Times New Roman" w:eastAsia="Times New Roman" w:hAnsi="Times New Roman"/>
          <w:sz w:val="18"/>
          <w:szCs w:val="18"/>
          <w:color w:val="auto"/>
        </w:rPr>
      </w:pPr>
    </w:p>
    <w:p>
      <w:pPr>
        <w:ind w:firstLine="656"/>
        <w:spacing w:after="0" w:line="284" w:lineRule="auto"/>
        <w:tabs>
          <w:tab w:leader="none" w:pos="113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Representation of Underwriters. </w:t>
      </w:r>
      <w:r>
        <w:rPr>
          <w:rFonts w:ascii="Times New Roman" w:cs="Times New Roman" w:eastAsia="Times New Roman" w:hAnsi="Times New Roman"/>
          <w:sz w:val="18"/>
          <w:szCs w:val="18"/>
          <w:color w:val="auto"/>
        </w:rPr>
        <w:t>The Representatives will act for the several Underwriters in connection with the transactions contemplated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this Agreement, and any action under this Agreement taken by the Representatives will be binding upon all the Underwriters.</w:t>
      </w:r>
    </w:p>
    <w:p>
      <w:pPr>
        <w:spacing w:after="0" w:line="158"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Absence of Fiduciary Relationship. </w:t>
      </w:r>
      <w:r>
        <w:rPr>
          <w:rFonts w:ascii="Times New Roman" w:cs="Times New Roman" w:eastAsia="Times New Roman" w:hAnsi="Times New Roman"/>
          <w:sz w:val="18"/>
          <w:szCs w:val="18"/>
          <w:color w:val="auto"/>
        </w:rPr>
        <w:t>Each of the Company and the Guarantor acknowledges and agrees that: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2092"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Other Relationship</w:t>
      </w:r>
      <w:r>
        <w:rPr>
          <w:rFonts w:ascii="Times New Roman" w:cs="Times New Roman" w:eastAsia="Times New Roman" w:hAnsi="Times New Roman"/>
          <w:sz w:val="18"/>
          <w:szCs w:val="18"/>
          <w:color w:val="auto"/>
        </w:rPr>
        <w:t>. The Underwriters have been retained solely to act as underwriters in connection with the sale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Offered Securities and that no fiduciary, advisory or agency relationship between the Company or the Guarantor, on the one hand, and any Underwriter has been created in respect of any of the transactions contemplated by this Agreement or the Final Prospectus, irrespective of whether any Underwriter has advised or are advising the Company or the Guarantor on other matters. Any review by the Representatives or any Underwriter of the Company, the Guarantor, the transactions contemplated hereby or other matters relating to such transactions will be performed solely for the benefit of the Representatives of such Underwriter, as the case may be, and shall not be on behalf of the Company, the Guarantor or any other person;</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6" w:name="page27"/>
    <w:bookmarkEnd w:id="26"/>
    <w:p>
      <w:pPr>
        <w:jc w:val="both"/>
        <w:ind w:left="660" w:firstLine="644"/>
        <w:spacing w:after="0" w:line="261" w:lineRule="auto"/>
        <w:tabs>
          <w:tab w:leader="none" w:pos="208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Arm’s-Length Negotiations</w:t>
      </w:r>
      <w:r>
        <w:rPr>
          <w:rFonts w:ascii="Times New Roman" w:cs="Times New Roman" w:eastAsia="Times New Roman" w:hAnsi="Times New Roman"/>
          <w:sz w:val="18"/>
          <w:szCs w:val="18"/>
          <w:color w:val="auto"/>
        </w:rPr>
        <w:t>. The purchase price of the Offered Securities set forth in this Agreement was established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the Guarantor following discussions and arm’s-length negotiations with the Representatives and the Company and the Guarantor are capable of evaluating and understanding and understands and accept the terms, risks and conditions of the transactions contemplated by this Agreement;</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206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Absence of Obligation to Disclose</w:t>
      </w:r>
      <w:r>
        <w:rPr>
          <w:rFonts w:ascii="Times New Roman" w:cs="Times New Roman" w:eastAsia="Times New Roman" w:hAnsi="Times New Roman"/>
          <w:sz w:val="18"/>
          <w:szCs w:val="18"/>
          <w:color w:val="auto"/>
        </w:rPr>
        <w:t>. Each of the Company and the Guarantor have been advised that each Underwriter and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affiliates are engaged in a broad range of transactions which may involve interests that differ from those of the Company or the Guarantor and that each Underwriter has no obligation to disclose such interests and transactions to the Company or the Guarantor by virtue of any fiduciary, advisory or agency relationship; and</w:t>
      </w:r>
    </w:p>
    <w:p>
      <w:pPr>
        <w:spacing w:after="0" w:line="179"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205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Waiver</w:t>
      </w:r>
      <w:r>
        <w:rPr>
          <w:rFonts w:ascii="Times New Roman" w:cs="Times New Roman" w:eastAsia="Times New Roman" w:hAnsi="Times New Roman"/>
          <w:sz w:val="18"/>
          <w:szCs w:val="18"/>
          <w:color w:val="auto"/>
        </w:rPr>
        <w:t>. Each of the Company and the Guarantor, to the fullest extent permitted by law, any claims it may have against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Underwriter for breach of fiduciary duty or alleged breach of fiduciary duty and agrees that the Underwriters shall have no liability (whether direct or indirect) to the Company or the Guarantor in respect of such a fiduciary duty claim or to any person asserting a fiduciary duty claim on behalf of or in right of the Company or the Guarantor, including members, stockholders, employees or creditors of the Company or the Guarantor.</w:t>
      </w:r>
    </w:p>
    <w:p>
      <w:pPr>
        <w:spacing w:after="0" w:line="177" w:lineRule="exact"/>
        <w:rPr>
          <w:rFonts w:ascii="Times New Roman" w:cs="Times New Roman" w:eastAsia="Times New Roman" w:hAnsi="Times New Roman"/>
          <w:sz w:val="18"/>
          <w:szCs w:val="18"/>
          <w:color w:val="auto"/>
        </w:rPr>
      </w:pPr>
    </w:p>
    <w:p>
      <w:pPr>
        <w:ind w:firstLine="656"/>
        <w:spacing w:after="0" w:line="286" w:lineRule="auto"/>
        <w:tabs>
          <w:tab w:leader="none" w:pos="140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Applicable Law. </w:t>
      </w:r>
      <w:r>
        <w:rPr>
          <w:rFonts w:ascii="Times New Roman" w:cs="Times New Roman" w:eastAsia="Times New Roman" w:hAnsi="Times New Roman"/>
          <w:sz w:val="18"/>
          <w:szCs w:val="18"/>
          <w:b w:val="1"/>
          <w:bCs w:val="1"/>
          <w:color w:val="auto"/>
        </w:rPr>
        <w:t>This Agreement, and any claim, controversy or dispute arising under or related to this Agreement, shall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governed by, and construed in accordance with, the laws of the State of New York.</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Each of the Company and the Guarantor hereby submit to the non-exclusive jurisdiction of the Federal and state courts in the Borough of Manhattan in The City of New York in any suit or proceeding arising out of or relating to this Agreement or the transactions contemplated hereby. Each of the Company and the Guarantor irrevocably and unconditionally waives any objection to the laying of venue of any suit or proceeding arising out of or relating to this Agreement or the transactions contemplated hereby in Federal and state courts in the Borough of Manhattan in The City of New York and irrevocably and unconditionally waives and agrees not to plead or claim in any such court that any such suit or proceeding in any such court has been brought in an inconvenient forum.</w:t>
      </w:r>
    </w:p>
    <w:p>
      <w:pPr>
        <w:spacing w:after="0" w:line="185" w:lineRule="exact"/>
        <w:rPr>
          <w:sz w:val="20"/>
          <w:szCs w:val="20"/>
          <w:color w:val="auto"/>
        </w:rPr>
      </w:pPr>
    </w:p>
    <w:p>
      <w:pPr>
        <w:ind w:firstLine="656"/>
        <w:spacing w:after="0" w:line="284" w:lineRule="auto"/>
        <w:tabs>
          <w:tab w:leader="none" w:pos="96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Waiver of Jury Trial</w:t>
      </w:r>
      <w:r>
        <w:rPr>
          <w:rFonts w:ascii="Times New Roman" w:cs="Times New Roman" w:eastAsia="Times New Roman" w:hAnsi="Times New Roman"/>
          <w:sz w:val="18"/>
          <w:szCs w:val="18"/>
          <w:color w:val="auto"/>
        </w:rPr>
        <w:t>. Each of the Company and the Guarantor hereby irrevocably waives, to the fullest extent permitted by applicable law,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all right to trial by jury in any legal proceeding arising out of or relating to this Agreement or the transactions contemplated hereby.</w:t>
      </w:r>
    </w:p>
    <w:p>
      <w:pPr>
        <w:spacing w:after="0" w:line="158" w:lineRule="exact"/>
        <w:rPr>
          <w:rFonts w:ascii="Times New Roman" w:cs="Times New Roman" w:eastAsia="Times New Roman" w:hAnsi="Times New Roman"/>
          <w:sz w:val="18"/>
          <w:szCs w:val="18"/>
          <w:color w:val="auto"/>
        </w:rPr>
      </w:pPr>
    </w:p>
    <w:p>
      <w:pPr>
        <w:jc w:val="both"/>
        <w:ind w:firstLine="656"/>
        <w:spacing w:after="0" w:line="261" w:lineRule="auto"/>
        <w:tabs>
          <w:tab w:leader="none" w:pos="100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PATRIOT Act</w:t>
      </w:r>
      <w:r>
        <w:rPr>
          <w:rFonts w:ascii="Times New Roman" w:cs="Times New Roman" w:eastAsia="Times New Roman" w:hAnsi="Times New Roman"/>
          <w:sz w:val="18"/>
          <w:szCs w:val="18"/>
          <w:color w:val="auto"/>
        </w:rPr>
        <w:t>. In accordance with the requirements of the USA PATRIOT Act (Title III of Pub. L. 107-56 (signed into law October 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2001)), the Underwriters are required to obtain, verify and record information that identifies their respective clients, including the Company and the Guarantor, which information may include the name and address of their respective clients, as well as other information that will allow the Underwriters to properly identify their respective clients.</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Recognition of the U.S. Special Resolution Regimes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60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7" w:name="page28"/>
    <w:bookmarkEnd w:id="27"/>
    <w:p>
      <w:pPr>
        <w:jc w:val="both"/>
        <w:ind w:left="4" w:firstLine="644"/>
        <w:spacing w:after="0" w:line="261" w:lineRule="auto"/>
        <w:tabs>
          <w:tab w:leader="none" w:pos="101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17</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means any of the following:</w:t>
      </w:r>
    </w:p>
    <w:p>
      <w:pPr>
        <w:spacing w:after="0" w:line="229" w:lineRule="exact"/>
        <w:rPr>
          <w:sz w:val="20"/>
          <w:szCs w:val="20"/>
          <w:color w:val="auto"/>
        </w:rPr>
      </w:pPr>
    </w:p>
    <w:p>
      <w:pPr>
        <w:ind w:left="864" w:hanging="216"/>
        <w:spacing w:after="0"/>
        <w:tabs>
          <w:tab w:leader="none" w:pos="86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225" w:lineRule="exact"/>
        <w:rPr>
          <w:rFonts w:ascii="Times New Roman" w:cs="Times New Roman" w:eastAsia="Times New Roman" w:hAnsi="Times New Roman"/>
          <w:sz w:val="18"/>
          <w:szCs w:val="18"/>
          <w:color w:val="auto"/>
        </w:rPr>
      </w:pPr>
    </w:p>
    <w:p>
      <w:pPr>
        <w:ind w:left="904" w:hanging="256"/>
        <w:spacing w:after="0"/>
        <w:tabs>
          <w:tab w:leader="none" w:pos="90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225" w:lineRule="exact"/>
        <w:rPr>
          <w:rFonts w:ascii="Times New Roman" w:cs="Times New Roman" w:eastAsia="Times New Roman" w:hAnsi="Times New Roman"/>
          <w:sz w:val="18"/>
          <w:szCs w:val="18"/>
          <w:color w:val="auto"/>
        </w:rPr>
      </w:pPr>
    </w:p>
    <w:p>
      <w:pPr>
        <w:ind w:left="964" w:hanging="316"/>
        <w:spacing w:after="0"/>
        <w:tabs>
          <w:tab w:leader="none" w:pos="96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221" w:lineRule="exact"/>
        <w:rPr>
          <w:sz w:val="20"/>
          <w:szCs w:val="20"/>
          <w:color w:val="auto"/>
        </w:rPr>
      </w:pPr>
    </w:p>
    <w:p>
      <w:pPr>
        <w:ind w:left="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Special 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w:t>
      </w:r>
    </w:p>
    <w:p>
      <w:pPr>
        <w:spacing w:after="0" w:line="31" w:lineRule="exact"/>
        <w:rPr>
          <w:sz w:val="20"/>
          <w:szCs w:val="20"/>
          <w:color w:val="auto"/>
        </w:rPr>
      </w:pPr>
    </w:p>
    <w:p>
      <w:pPr>
        <w:ind w:left="4064" w:right="2240" w:hanging="4064"/>
        <w:spacing w:after="0" w:line="511" w:lineRule="auto"/>
        <w:tabs>
          <w:tab w:leader="none" w:pos="16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Dodd-Frank Wall Street Reform and Consumer Protection Act and the regulations promulgated thereunder. [</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left="4844"/>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28" w:name="page29"/>
    <w:bookmarkEnd w:id="28"/>
    <w:p>
      <w:pPr>
        <w:ind w:firstLine="648"/>
        <w:spacing w:after="0" w:line="282" w:lineRule="auto"/>
        <w:rPr>
          <w:sz w:val="20"/>
          <w:szCs w:val="20"/>
          <w:color w:val="auto"/>
        </w:rPr>
      </w:pPr>
      <w:r>
        <w:rPr>
          <w:rFonts w:ascii="Times New Roman" w:cs="Times New Roman" w:eastAsia="Times New Roman" w:hAnsi="Times New Roman"/>
          <w:sz w:val="18"/>
          <w:szCs w:val="18"/>
          <w:color w:val="auto"/>
        </w:rPr>
        <w:t>If the foregoing is in accordance with the Underwriters’ understanding of our agreement, kindly sign and return to one of the counterparts hereof, whereupon it will become a binding agreement among the Company, the Guarantor and the several Underwriters in accordance with its terms.</w:t>
      </w:r>
    </w:p>
    <w:p>
      <w:pPr>
        <w:spacing w:after="0" w:line="162"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DIAMONDBACK ENERGY, INC.</w:t>
      </w:r>
    </w:p>
    <w:p>
      <w:pPr>
        <w:spacing w:after="0" w:line="229" w:lineRule="exact"/>
        <w:rPr>
          <w:sz w:val="20"/>
          <w:szCs w:val="20"/>
          <w:color w:val="auto"/>
        </w:rPr>
      </w:pPr>
    </w:p>
    <w:p>
      <w:pPr>
        <w:ind w:left="4840"/>
        <w:spacing w:after="0"/>
        <w:tabs>
          <w:tab w:leader="none" w:pos="53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Jere W Thompson</w:t>
      </w:r>
    </w:p>
    <w:p>
      <w:pPr>
        <w:spacing w:after="0" w:line="3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Jere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-127635</wp:posOffset>
            </wp:positionV>
            <wp:extent cx="264033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21" w:lineRule="exact"/>
        <w:rPr>
          <w:sz w:val="20"/>
          <w:szCs w:val="20"/>
          <w:color w:val="auto"/>
        </w:rPr>
      </w:pPr>
    </w:p>
    <w:p>
      <w:pPr>
        <w:ind w:left="484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and Chief Financial Officer</w:t>
      </w:r>
    </w:p>
    <w:p>
      <w:pPr>
        <w:spacing w:after="0" w:line="20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DIAMONDBACK E&amp;P LLC</w:t>
      </w:r>
    </w:p>
    <w:p>
      <w:pPr>
        <w:spacing w:after="0" w:line="229" w:lineRule="exact"/>
        <w:rPr>
          <w:sz w:val="20"/>
          <w:szCs w:val="20"/>
          <w:color w:val="auto"/>
        </w:rPr>
      </w:pPr>
    </w:p>
    <w:p>
      <w:pPr>
        <w:ind w:left="4840"/>
        <w:spacing w:after="0"/>
        <w:tabs>
          <w:tab w:leader="none" w:pos="53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Jere W Thompson</w:t>
      </w:r>
    </w:p>
    <w:p>
      <w:pPr>
        <w:spacing w:after="0" w:line="3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Jere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-127635</wp:posOffset>
            </wp:positionV>
            <wp:extent cx="264033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21" w:lineRule="exact"/>
        <w:rPr>
          <w:sz w:val="20"/>
          <w:szCs w:val="20"/>
          <w:color w:val="auto"/>
        </w:rPr>
      </w:pPr>
    </w:p>
    <w:p>
      <w:pPr>
        <w:ind w:left="484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and Chief Financial Officer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ind w:left="3720" w:right="940"/>
        <w:spacing w:after="0" w:line="282" w:lineRule="auto"/>
        <w:rPr>
          <w:sz w:val="20"/>
          <w:szCs w:val="20"/>
          <w:color w:val="auto"/>
        </w:rPr>
      </w:pPr>
      <w:r>
        <w:rPr>
          <w:rFonts w:ascii="Times New Roman" w:cs="Times New Roman" w:eastAsia="Times New Roman" w:hAnsi="Times New Roman"/>
          <w:sz w:val="18"/>
          <w:szCs w:val="18"/>
          <w:color w:val="auto"/>
        </w:rPr>
        <w:t>The foregoing Underwriting Agreement is hereby confirmed and accepted as of the date first above written.</w:t>
      </w:r>
    </w:p>
    <w:p>
      <w:pPr>
        <w:spacing w:after="0" w:line="158"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BOFA SECURITIES, INC.</w:t>
      </w:r>
    </w:p>
    <w:p>
      <w:pPr>
        <w:spacing w:after="0" w:line="229" w:lineRule="exact"/>
        <w:rPr>
          <w:sz w:val="20"/>
          <w:szCs w:val="20"/>
          <w:color w:val="auto"/>
        </w:rPr>
      </w:pPr>
    </w:p>
    <w:p>
      <w:pPr>
        <w:ind w:left="3720"/>
        <w:spacing w:after="0"/>
        <w:tabs>
          <w:tab w:leader="none" w:pos="4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Kevin Wehler</w:t>
      </w:r>
    </w:p>
    <w:p>
      <w:pPr>
        <w:spacing w:after="0" w:line="36"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Name: Kevin Wehler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2722880</wp:posOffset>
            </wp:positionH>
            <wp:positionV relativeFrom="paragraph">
              <wp:posOffset>-127635</wp:posOffset>
            </wp:positionV>
            <wp:extent cx="264033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21" w:lineRule="exact"/>
        <w:rPr>
          <w:sz w:val="20"/>
          <w:szCs w:val="20"/>
          <w:color w:val="auto"/>
        </w:rPr>
      </w:pPr>
    </w:p>
    <w:p>
      <w:pPr>
        <w:ind w:left="3720"/>
        <w:spacing w:after="0"/>
        <w:tabs>
          <w:tab w:leader="none" w:pos="426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3"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BARCLAYS CAPITAL INC.</w:t>
      </w:r>
    </w:p>
    <w:p>
      <w:pPr>
        <w:spacing w:after="0" w:line="229" w:lineRule="exact"/>
        <w:rPr>
          <w:sz w:val="20"/>
          <w:szCs w:val="20"/>
          <w:color w:val="auto"/>
        </w:rPr>
      </w:pPr>
    </w:p>
    <w:p>
      <w:pPr>
        <w:ind w:left="3720"/>
        <w:spacing w:after="0"/>
        <w:tabs>
          <w:tab w:leader="none" w:pos="4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John Lembeck</w:t>
      </w:r>
    </w:p>
    <w:p>
      <w:pPr>
        <w:spacing w:after="0" w:line="36"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Name: John Lembeck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2722880</wp:posOffset>
            </wp:positionH>
            <wp:positionV relativeFrom="paragraph">
              <wp:posOffset>-127635</wp:posOffset>
            </wp:positionV>
            <wp:extent cx="264033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21" w:lineRule="exact"/>
        <w:rPr>
          <w:sz w:val="20"/>
          <w:szCs w:val="20"/>
          <w:color w:val="auto"/>
        </w:rPr>
      </w:pPr>
    </w:p>
    <w:p>
      <w:pPr>
        <w:ind w:left="3720"/>
        <w:spacing w:after="0"/>
        <w:tabs>
          <w:tab w:leader="none" w:pos="426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3"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PNC CAPITAL MARKETS LLC</w:t>
      </w:r>
    </w:p>
    <w:p>
      <w:pPr>
        <w:spacing w:after="0" w:line="229" w:lineRule="exact"/>
        <w:rPr>
          <w:sz w:val="20"/>
          <w:szCs w:val="20"/>
          <w:color w:val="auto"/>
        </w:rPr>
      </w:pPr>
    </w:p>
    <w:p>
      <w:pPr>
        <w:ind w:left="3720"/>
        <w:spacing w:after="0"/>
        <w:tabs>
          <w:tab w:leader="none" w:pos="4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Valerie Shadeck</w:t>
      </w:r>
    </w:p>
    <w:p>
      <w:pPr>
        <w:spacing w:after="0" w:line="36"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Name: Valerie Shadeck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2722880</wp:posOffset>
            </wp:positionH>
            <wp:positionV relativeFrom="paragraph">
              <wp:posOffset>-127635</wp:posOffset>
            </wp:positionV>
            <wp:extent cx="264033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21" w:lineRule="exact"/>
        <w:rPr>
          <w:sz w:val="20"/>
          <w:szCs w:val="20"/>
          <w:color w:val="auto"/>
        </w:rPr>
      </w:pPr>
    </w:p>
    <w:p>
      <w:pPr>
        <w:ind w:left="3720"/>
        <w:spacing w:after="0"/>
        <w:tabs>
          <w:tab w:leader="none" w:pos="426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3"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TD SECURITIES (USA) LLC</w:t>
      </w:r>
    </w:p>
    <w:p>
      <w:pPr>
        <w:spacing w:after="0" w:line="229" w:lineRule="exact"/>
        <w:rPr>
          <w:sz w:val="20"/>
          <w:szCs w:val="20"/>
          <w:color w:val="auto"/>
        </w:rPr>
      </w:pPr>
    </w:p>
    <w:p>
      <w:pPr>
        <w:ind w:left="3720"/>
        <w:spacing w:after="0"/>
        <w:tabs>
          <w:tab w:leader="none" w:pos="4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Luiz Lanfredi</w:t>
      </w:r>
    </w:p>
    <w:p>
      <w:pPr>
        <w:spacing w:after="0" w:line="36"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Name: Luiz Lanfredi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2722880</wp:posOffset>
            </wp:positionH>
            <wp:positionV relativeFrom="paragraph">
              <wp:posOffset>-127635</wp:posOffset>
            </wp:positionV>
            <wp:extent cx="264033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21" w:lineRule="exact"/>
        <w:rPr>
          <w:sz w:val="20"/>
          <w:szCs w:val="20"/>
          <w:color w:val="auto"/>
        </w:rPr>
      </w:pPr>
    </w:p>
    <w:p>
      <w:pPr>
        <w:ind w:left="3720"/>
        <w:spacing w:after="0"/>
        <w:tabs>
          <w:tab w:leader="none" w:pos="426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3"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7"/>
          <w:szCs w:val="17"/>
          <w:b w:val="1"/>
          <w:bCs w:val="1"/>
          <w:color w:val="auto"/>
        </w:rPr>
        <w:t>Acting on behalf of themselves and as Representatives of the several Underwriters</w:t>
      </w:r>
    </w:p>
    <w:p>
      <w:pPr>
        <w:spacing w:after="0" w:line="23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267335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00"/>
          </w:cols>
          <w:pgMar w:left="1440" w:top="121" w:right="45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8"/>
        </w:trPr>
        <w:tc>
          <w:tcPr>
            <w:tcW w:w="2820" w:type="dxa"/>
            <w:vAlign w:val="bottom"/>
          </w:tcPr>
          <w:p>
            <w:pPr>
              <w:spacing w:after="0"/>
              <w:rPr>
                <w:sz w:val="20"/>
                <w:szCs w:val="20"/>
                <w:color w:val="auto"/>
              </w:rPr>
            </w:pPr>
          </w:p>
        </w:tc>
        <w:tc>
          <w:tcPr>
            <w:tcW w:w="3480" w:type="dxa"/>
            <w:vAlign w:val="bottom"/>
          </w:tcPr>
          <w:p>
            <w:pPr>
              <w:ind w:left="2220"/>
              <w:spacing w:after="0"/>
              <w:rPr>
                <w:sz w:val="20"/>
                <w:szCs w:val="20"/>
                <w:color w:val="auto"/>
              </w:rPr>
            </w:pPr>
            <w:r>
              <w:rPr>
                <w:rFonts w:ascii="Times New Roman" w:cs="Times New Roman" w:eastAsia="Times New Roman" w:hAnsi="Times New Roman"/>
                <w:sz w:val="18"/>
                <w:szCs w:val="18"/>
                <w:b w:val="1"/>
                <w:bCs w:val="1"/>
                <w:color w:val="auto"/>
              </w:rPr>
              <w:t>SCHEDULE A</w:t>
            </w: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410"/>
        </w:trPr>
        <w:tc>
          <w:tcPr>
            <w:tcW w:w="28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Aggregate Principal</w:t>
            </w:r>
          </w:p>
        </w:tc>
        <w:tc>
          <w:tcPr>
            <w:tcW w:w="2800" w:type="dxa"/>
            <w:vAlign w:val="bottom"/>
          </w:tcPr>
          <w:p>
            <w:pPr>
              <w:spacing w:after="0"/>
              <w:rPr>
                <w:sz w:val="24"/>
                <w:szCs w:val="24"/>
                <w:color w:val="auto"/>
              </w:rPr>
            </w:pPr>
          </w:p>
        </w:tc>
      </w:tr>
      <w:tr>
        <w:trPr>
          <w:trHeight w:val="245"/>
        </w:trPr>
        <w:tc>
          <w:tcPr>
            <w:tcW w:w="2820" w:type="dxa"/>
            <w:vAlign w:val="bottom"/>
          </w:tcPr>
          <w:p>
            <w:pPr>
              <w:spacing w:after="0"/>
              <w:rPr>
                <w:sz w:val="21"/>
                <w:szCs w:val="21"/>
                <w:color w:val="auto"/>
              </w:rPr>
            </w:pPr>
          </w:p>
        </w:tc>
        <w:tc>
          <w:tcPr>
            <w:tcW w:w="3480" w:type="dxa"/>
            <w:vAlign w:val="bottom"/>
          </w:tcPr>
          <w:p>
            <w:pPr>
              <w:ind w:left="1180"/>
              <w:spacing w:after="0"/>
              <w:rPr>
                <w:sz w:val="20"/>
                <w:szCs w:val="20"/>
                <w:color w:val="auto"/>
              </w:rPr>
            </w:pPr>
            <w:r>
              <w:rPr>
                <w:rFonts w:ascii="Times New Roman" w:cs="Times New Roman" w:eastAsia="Times New Roman" w:hAnsi="Times New Roman"/>
                <w:sz w:val="18"/>
                <w:szCs w:val="18"/>
                <w:b w:val="1"/>
                <w:bCs w:val="1"/>
                <w:color w:val="auto"/>
              </w:rPr>
              <w:t>Underwriters</w:t>
            </w:r>
          </w:p>
        </w:tc>
        <w:tc>
          <w:tcPr>
            <w:tcW w:w="120" w:type="dxa"/>
            <w:vAlign w:val="bottom"/>
          </w:tcPr>
          <w:p>
            <w:pPr>
              <w:spacing w:after="0"/>
              <w:rPr>
                <w:sz w:val="21"/>
                <w:szCs w:val="21"/>
                <w:color w:val="auto"/>
              </w:rPr>
            </w:pP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Amount of 2035 Notes</w:t>
            </w:r>
          </w:p>
        </w:tc>
        <w:tc>
          <w:tcPr>
            <w:tcW w:w="2800" w:type="dxa"/>
            <w:vAlign w:val="bottom"/>
          </w:tcPr>
          <w:p>
            <w:pPr>
              <w:spacing w:after="0"/>
              <w:rPr>
                <w:sz w:val="21"/>
                <w:szCs w:val="21"/>
                <w:color w:val="auto"/>
              </w:rPr>
            </w:pPr>
          </w:p>
        </w:tc>
      </w:tr>
      <w:tr>
        <w:trPr>
          <w:trHeight w:val="216"/>
        </w:trPr>
        <w:tc>
          <w:tcPr>
            <w:tcW w:w="2820" w:type="dxa"/>
            <w:vAlign w:val="bottom"/>
          </w:tcPr>
          <w:p>
            <w:pPr>
              <w:spacing w:after="0"/>
              <w:rPr>
                <w:sz w:val="18"/>
                <w:szCs w:val="18"/>
                <w:color w:val="auto"/>
              </w:rPr>
            </w:pPr>
          </w:p>
        </w:tc>
        <w:tc>
          <w:tcPr>
            <w:tcW w:w="3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200,040,000</w:t>
            </w:r>
          </w:p>
        </w:tc>
        <w:tc>
          <w:tcPr>
            <w:tcW w:w="100" w:type="dxa"/>
            <w:vAlign w:val="bottom"/>
            <w:shd w:val="clear" w:color="auto" w:fill="CCEEFF"/>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104,040,000</w:t>
            </w:r>
          </w:p>
        </w:tc>
        <w:tc>
          <w:tcPr>
            <w:tcW w:w="10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PNC Capital Markets LLC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104,040,000</w:t>
            </w:r>
          </w:p>
        </w:tc>
        <w:tc>
          <w:tcPr>
            <w:tcW w:w="100" w:type="dxa"/>
            <w:vAlign w:val="bottom"/>
            <w:shd w:val="clear" w:color="auto" w:fill="CCEEFF"/>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TD Securities (USA) LLC</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104,040,000</w:t>
            </w:r>
          </w:p>
        </w:tc>
        <w:tc>
          <w:tcPr>
            <w:tcW w:w="10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One Securities, Inc.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81,960,000</w:t>
            </w:r>
          </w:p>
        </w:tc>
        <w:tc>
          <w:tcPr>
            <w:tcW w:w="100" w:type="dxa"/>
            <w:vAlign w:val="bottom"/>
            <w:shd w:val="clear" w:color="auto" w:fill="CCEEFF"/>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Scotia Capital (USA) Inc.</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81,960,000</w:t>
            </w:r>
          </w:p>
        </w:tc>
        <w:tc>
          <w:tcPr>
            <w:tcW w:w="10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Truist Securities, Inc.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81,960,000</w:t>
            </w:r>
          </w:p>
        </w:tc>
        <w:tc>
          <w:tcPr>
            <w:tcW w:w="100" w:type="dxa"/>
            <w:vAlign w:val="bottom"/>
            <w:shd w:val="clear" w:color="auto" w:fill="CCEEFF"/>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Wells Fargo Securities, LLC</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81,960,000</w:t>
            </w:r>
          </w:p>
        </w:tc>
        <w:tc>
          <w:tcPr>
            <w:tcW w:w="10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48,000,000</w:t>
            </w:r>
          </w:p>
        </w:tc>
        <w:tc>
          <w:tcPr>
            <w:tcW w:w="100" w:type="dxa"/>
            <w:vAlign w:val="bottom"/>
            <w:shd w:val="clear" w:color="auto" w:fill="CCEEFF"/>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48,000,000</w:t>
            </w:r>
          </w:p>
        </w:tc>
        <w:tc>
          <w:tcPr>
            <w:tcW w:w="10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48,000,000</w:t>
            </w:r>
          </w:p>
        </w:tc>
        <w:tc>
          <w:tcPr>
            <w:tcW w:w="100" w:type="dxa"/>
            <w:vAlign w:val="bottom"/>
            <w:shd w:val="clear" w:color="auto" w:fill="CCEEFF"/>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Mizuho Securities USA LLC</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48,000,000</w:t>
            </w:r>
          </w:p>
        </w:tc>
        <w:tc>
          <w:tcPr>
            <w:tcW w:w="10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48,000,000</w:t>
            </w:r>
          </w:p>
        </w:tc>
        <w:tc>
          <w:tcPr>
            <w:tcW w:w="100" w:type="dxa"/>
            <w:vAlign w:val="bottom"/>
            <w:shd w:val="clear" w:color="auto" w:fill="CCEEFF"/>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RBC Capital Markets, LLC</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48,000,000</w:t>
            </w:r>
          </w:p>
        </w:tc>
        <w:tc>
          <w:tcPr>
            <w:tcW w:w="10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Bancorp Investments, Inc.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48,000,000</w:t>
            </w:r>
          </w:p>
        </w:tc>
        <w:tc>
          <w:tcPr>
            <w:tcW w:w="100" w:type="dxa"/>
            <w:vAlign w:val="bottom"/>
            <w:shd w:val="clear" w:color="auto" w:fill="CCEEFF"/>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BOK Financial Securities, Inc.</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12,000,000</w:t>
            </w:r>
          </w:p>
        </w:tc>
        <w:tc>
          <w:tcPr>
            <w:tcW w:w="10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23"/>
        </w:trPr>
        <w:tc>
          <w:tcPr>
            <w:tcW w:w="2820" w:type="dxa"/>
            <w:vAlign w:val="bottom"/>
          </w:tcPr>
          <w:p>
            <w:pPr>
              <w:spacing w:after="0"/>
              <w:rPr>
                <w:sz w:val="19"/>
                <w:szCs w:val="19"/>
                <w:color w:val="auto"/>
              </w:rPr>
            </w:pPr>
          </w:p>
        </w:tc>
        <w:tc>
          <w:tcPr>
            <w:tcW w:w="3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Comerica Securities, Inc.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12,000,000</w:t>
            </w:r>
          </w:p>
        </w:tc>
        <w:tc>
          <w:tcPr>
            <w:tcW w:w="100" w:type="dxa"/>
            <w:vAlign w:val="bottom"/>
            <w:tcBorders>
              <w:bottom w:val="single" w:sz="8" w:color="CCEEFF"/>
            </w:tcBorders>
            <w:shd w:val="clear" w:color="auto" w:fill="CCEEFF"/>
          </w:tcPr>
          <w:p>
            <w:pPr>
              <w:spacing w:after="0"/>
              <w:rPr>
                <w:sz w:val="19"/>
                <w:szCs w:val="19"/>
                <w:color w:val="auto"/>
              </w:rPr>
            </w:pPr>
          </w:p>
        </w:tc>
        <w:tc>
          <w:tcPr>
            <w:tcW w:w="2800" w:type="dxa"/>
            <w:vAlign w:val="bottom"/>
          </w:tcPr>
          <w:p>
            <w:pPr>
              <w:spacing w:after="0"/>
              <w:rPr>
                <w:sz w:val="19"/>
                <w:szCs w:val="19"/>
                <w:color w:val="auto"/>
              </w:rPr>
            </w:pPr>
          </w:p>
        </w:tc>
      </w:tr>
      <w:tr>
        <w:trPr>
          <w:trHeight w:val="216"/>
        </w:trPr>
        <w:tc>
          <w:tcPr>
            <w:tcW w:w="2820" w:type="dxa"/>
            <w:vAlign w:val="bottom"/>
          </w:tcPr>
          <w:p>
            <w:pPr>
              <w:spacing w:after="0"/>
              <w:rPr>
                <w:sz w:val="18"/>
                <w:szCs w:val="18"/>
                <w:color w:val="auto"/>
              </w:rPr>
            </w:pPr>
          </w:p>
        </w:tc>
        <w:tc>
          <w:tcPr>
            <w:tcW w:w="3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1,200,000,000</w:t>
            </w:r>
          </w:p>
        </w:tc>
        <w:tc>
          <w:tcPr>
            <w:tcW w:w="10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0"/>
        </w:trPr>
        <w:tc>
          <w:tcPr>
            <w:tcW w:w="28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392"/>
        </w:trPr>
        <w:tc>
          <w:tcPr>
            <w:tcW w:w="28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31" w:name="page32"/>
    <w:bookmarkEnd w:id="31"/>
    <w:p>
      <w:pPr>
        <w:jc w:val="center"/>
        <w:ind w:right="-444"/>
        <w:spacing w:after="0"/>
        <w:rPr>
          <w:sz w:val="20"/>
          <w:szCs w:val="20"/>
          <w:color w:val="auto"/>
        </w:rPr>
      </w:pPr>
      <w:r>
        <w:rPr>
          <w:rFonts w:ascii="Times New Roman" w:cs="Times New Roman" w:eastAsia="Times New Roman" w:hAnsi="Times New Roman"/>
          <w:sz w:val="18"/>
          <w:szCs w:val="18"/>
          <w:b w:val="1"/>
          <w:bCs w:val="1"/>
          <w:color w:val="auto"/>
        </w:rPr>
        <w:t>SCHEDULE B</w:t>
      </w:r>
    </w:p>
    <w:p>
      <w:pPr>
        <w:spacing w:after="0" w:line="225" w:lineRule="exact"/>
        <w:rPr>
          <w:sz w:val="20"/>
          <w:szCs w:val="20"/>
          <w:color w:val="auto"/>
        </w:rPr>
      </w:pPr>
    </w:p>
    <w:p>
      <w:pPr>
        <w:jc w:val="right"/>
        <w:ind w:right="2099"/>
        <w:spacing w:after="0"/>
        <w:rPr>
          <w:sz w:val="20"/>
          <w:szCs w:val="20"/>
          <w:color w:val="auto"/>
        </w:rPr>
      </w:pPr>
      <w:r>
        <w:rPr>
          <w:rFonts w:ascii="Times New Roman" w:cs="Times New Roman" w:eastAsia="Times New Roman" w:hAnsi="Times New Roman"/>
          <w:sz w:val="18"/>
          <w:szCs w:val="18"/>
          <w:b w:val="1"/>
          <w:bCs w:val="1"/>
          <w:color w:val="auto"/>
        </w:rPr>
        <w:t>Other Information Included in the General Disclosure Package</w:t>
      </w:r>
    </w:p>
    <w:p>
      <w:pPr>
        <w:spacing w:after="0" w:line="229" w:lineRule="exact"/>
        <w:rPr>
          <w:sz w:val="20"/>
          <w:szCs w:val="20"/>
          <w:color w:val="auto"/>
        </w:rPr>
      </w:pPr>
    </w:p>
    <w:p>
      <w:pPr>
        <w:ind w:left="324" w:hanging="324"/>
        <w:spacing w:after="0"/>
        <w:tabs>
          <w:tab w:leader="none" w:pos="32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 term sheet, dated March 6, 2025, a copy of which is attached hereto as Annex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266065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83"/>
          </w:cols>
          <w:pgMar w:left="976" w:top="117" w:right="1440"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ANNEX I</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Filed Pursuant to Rule 433</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333-268495</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March 6, 2025</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PRICING TERM SHEET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$1,200,000,000 5.550% Senior Notes due 2035</w:t>
      </w:r>
    </w:p>
    <w:p>
      <w:pPr>
        <w:spacing w:after="0" w:line="227" w:lineRule="exact"/>
        <w:rPr>
          <w:sz w:val="20"/>
          <w:szCs w:val="20"/>
          <w:color w:val="auto"/>
        </w:rPr>
      </w:pPr>
    </w:p>
    <w:p>
      <w:pPr>
        <w:ind w:right="340"/>
        <w:spacing w:after="0" w:line="267" w:lineRule="auto"/>
        <w:rPr>
          <w:sz w:val="20"/>
          <w:szCs w:val="20"/>
          <w:color w:val="auto"/>
        </w:rPr>
      </w:pPr>
      <w:r>
        <w:rPr>
          <w:rFonts w:ascii="Times New Roman" w:cs="Times New Roman" w:eastAsia="Times New Roman" w:hAnsi="Times New Roman"/>
          <w:sz w:val="18"/>
          <w:szCs w:val="18"/>
          <w:i w:val="1"/>
          <w:iCs w:val="1"/>
          <w:color w:val="auto"/>
        </w:rPr>
        <w:t>The information in this pricing term sheet supplements the registration statement and the preliminary prospectus supplement and supersedes the information in the registration statement and the preliminary prospectus supplement to the extent inconsistent with the information in those documents. Terms used herein but not defined herein shall have the respective meanings as set forth in the preliminary prospectus supplement.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848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Diamondback Energy, Inc.</w:t>
            </w:r>
          </w:p>
        </w:tc>
      </w:tr>
      <w:tr>
        <w:trPr>
          <w:trHeight w:val="392"/>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Securities:</w:t>
            </w:r>
          </w:p>
        </w:tc>
        <w:tc>
          <w:tcPr>
            <w:tcW w:w="848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5.550% Senior Notes due 2035 (the “Notes”)</w:t>
            </w:r>
          </w:p>
        </w:tc>
      </w:tr>
      <w:tr>
        <w:trPr>
          <w:trHeight w:val="453"/>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Format:</w:t>
            </w:r>
          </w:p>
        </w:tc>
        <w:tc>
          <w:tcPr>
            <w:tcW w:w="38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SEC Registered</w:t>
            </w:r>
          </w:p>
        </w:tc>
        <w:tc>
          <w:tcPr>
            <w:tcW w:w="420" w:type="dxa"/>
            <w:vAlign w:val="bottom"/>
            <w:tcBorders>
              <w:top w:val="single" w:sz="8" w:color="auto"/>
            </w:tcBorders>
          </w:tcPr>
          <w:p>
            <w:pPr>
              <w:spacing w:after="0"/>
              <w:rPr>
                <w:sz w:val="24"/>
                <w:szCs w:val="24"/>
                <w:color w:val="auto"/>
              </w:rPr>
            </w:pPr>
          </w:p>
        </w:tc>
        <w:tc>
          <w:tcPr>
            <w:tcW w:w="4180" w:type="dxa"/>
            <w:vAlign w:val="bottom"/>
          </w:tcPr>
          <w:p>
            <w:pPr>
              <w:spacing w:after="0"/>
              <w:rPr>
                <w:sz w:val="24"/>
                <w:szCs w:val="24"/>
                <w:color w:val="auto"/>
              </w:rPr>
            </w:pPr>
          </w:p>
        </w:tc>
      </w:tr>
      <w:tr>
        <w:trPr>
          <w:trHeight w:val="432"/>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Trade Date:</w:t>
            </w:r>
          </w:p>
        </w:tc>
        <w:tc>
          <w:tcPr>
            <w:tcW w:w="848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March 6, 2025</w:t>
            </w:r>
          </w:p>
        </w:tc>
      </w:tr>
      <w:tr>
        <w:trPr>
          <w:trHeight w:val="432"/>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Settlement Date:</w:t>
            </w:r>
          </w:p>
        </w:tc>
        <w:tc>
          <w:tcPr>
            <w:tcW w:w="848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March 20, 2025 (T+10)</w:t>
            </w:r>
          </w:p>
        </w:tc>
      </w:tr>
      <w:tr>
        <w:trPr>
          <w:trHeight w:val="414"/>
        </w:trPr>
        <w:tc>
          <w:tcPr>
            <w:tcW w:w="2760" w:type="dxa"/>
            <w:vAlign w:val="bottom"/>
          </w:tcPr>
          <w:p>
            <w:pPr>
              <w:spacing w:after="0"/>
              <w:rPr>
                <w:sz w:val="24"/>
                <w:szCs w:val="24"/>
                <w:color w:val="auto"/>
              </w:rPr>
            </w:pPr>
          </w:p>
        </w:tc>
        <w:tc>
          <w:tcPr>
            <w:tcW w:w="848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w w:val="99"/>
              </w:rPr>
              <w:t>It is expected that delivery of the Notes will be made against payment therefor on or about March 20,</w:t>
            </w:r>
          </w:p>
        </w:tc>
      </w:tr>
      <w:tr>
        <w:trPr>
          <w:trHeight w:val="216"/>
        </w:trPr>
        <w:tc>
          <w:tcPr>
            <w:tcW w:w="2760" w:type="dxa"/>
            <w:vAlign w:val="bottom"/>
          </w:tcPr>
          <w:p>
            <w:pPr>
              <w:spacing w:after="0"/>
              <w:rPr>
                <w:sz w:val="18"/>
                <w:szCs w:val="18"/>
                <w:color w:val="auto"/>
              </w:rPr>
            </w:pPr>
          </w:p>
        </w:tc>
        <w:tc>
          <w:tcPr>
            <w:tcW w:w="848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2025, which is the tenth business day following the Trade Date (such settlement cycle being referred</w:t>
            </w:r>
          </w:p>
        </w:tc>
      </w:tr>
      <w:tr>
        <w:trPr>
          <w:trHeight w:val="216"/>
        </w:trPr>
        <w:tc>
          <w:tcPr>
            <w:tcW w:w="2760" w:type="dxa"/>
            <w:vAlign w:val="bottom"/>
          </w:tcPr>
          <w:p>
            <w:pPr>
              <w:spacing w:after="0"/>
              <w:rPr>
                <w:sz w:val="18"/>
                <w:szCs w:val="18"/>
                <w:color w:val="auto"/>
              </w:rPr>
            </w:pPr>
          </w:p>
        </w:tc>
        <w:tc>
          <w:tcPr>
            <w:tcW w:w="848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to as “T+10”). Pursuant to Rule 15c6-1 under the Securities Exchange Act of 1934, as amended,</w:t>
            </w:r>
          </w:p>
        </w:tc>
      </w:tr>
      <w:tr>
        <w:trPr>
          <w:trHeight w:val="216"/>
        </w:trPr>
        <w:tc>
          <w:tcPr>
            <w:tcW w:w="2760" w:type="dxa"/>
            <w:vAlign w:val="bottom"/>
          </w:tcPr>
          <w:p>
            <w:pPr>
              <w:spacing w:after="0"/>
              <w:rPr>
                <w:sz w:val="18"/>
                <w:szCs w:val="18"/>
                <w:color w:val="auto"/>
              </w:rPr>
            </w:pPr>
          </w:p>
        </w:tc>
        <w:tc>
          <w:tcPr>
            <w:tcW w:w="848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trades in the secondary market generally are required to settle in one business day, unless the parties</w:t>
            </w:r>
          </w:p>
        </w:tc>
      </w:tr>
      <w:tr>
        <w:trPr>
          <w:trHeight w:val="216"/>
        </w:trPr>
        <w:tc>
          <w:tcPr>
            <w:tcW w:w="2760" w:type="dxa"/>
            <w:vAlign w:val="bottom"/>
          </w:tcPr>
          <w:p>
            <w:pPr>
              <w:spacing w:after="0"/>
              <w:rPr>
                <w:sz w:val="18"/>
                <w:szCs w:val="18"/>
                <w:color w:val="auto"/>
              </w:rPr>
            </w:pPr>
          </w:p>
        </w:tc>
        <w:tc>
          <w:tcPr>
            <w:tcW w:w="848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w w:val="99"/>
              </w:rPr>
              <w:t>to any such trade expressly agree otherwise. Accordingly, purchasers who wish to trade the Notes on</w:t>
            </w:r>
          </w:p>
        </w:tc>
      </w:tr>
      <w:tr>
        <w:trPr>
          <w:trHeight w:val="216"/>
        </w:trPr>
        <w:tc>
          <w:tcPr>
            <w:tcW w:w="2760" w:type="dxa"/>
            <w:vAlign w:val="bottom"/>
          </w:tcPr>
          <w:p>
            <w:pPr>
              <w:spacing w:after="0"/>
              <w:rPr>
                <w:sz w:val="18"/>
                <w:szCs w:val="18"/>
                <w:color w:val="auto"/>
              </w:rPr>
            </w:pPr>
          </w:p>
        </w:tc>
        <w:tc>
          <w:tcPr>
            <w:tcW w:w="848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any date prior to the business day before the Settlement Date will be required to specify alternative</w:t>
            </w:r>
          </w:p>
        </w:tc>
      </w:tr>
      <w:tr>
        <w:trPr>
          <w:trHeight w:val="234"/>
        </w:trPr>
        <w:tc>
          <w:tcPr>
            <w:tcW w:w="2760" w:type="dxa"/>
            <w:vAlign w:val="bottom"/>
          </w:tcPr>
          <w:p>
            <w:pPr>
              <w:spacing w:after="0"/>
              <w:rPr>
                <w:sz w:val="20"/>
                <w:szCs w:val="20"/>
                <w:color w:val="auto"/>
              </w:rPr>
            </w:pPr>
          </w:p>
        </w:tc>
        <w:tc>
          <w:tcPr>
            <w:tcW w:w="848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settlement arrangements at the time of any such trade to prevent a failed settlement.</w:t>
            </w:r>
          </w:p>
        </w:tc>
      </w:tr>
      <w:tr>
        <w:trPr>
          <w:trHeight w:val="414"/>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Anticipated Ratings:</w:t>
            </w:r>
            <w:r>
              <w:rPr>
                <w:rFonts w:ascii="Times New Roman" w:cs="Times New Roman" w:eastAsia="Times New Roman" w:hAnsi="Times New Roman"/>
                <w:sz w:val="29"/>
                <w:szCs w:val="29"/>
                <w:color w:val="auto"/>
                <w:vertAlign w:val="superscript"/>
              </w:rPr>
              <w:t>*</w:t>
            </w:r>
          </w:p>
        </w:tc>
        <w:tc>
          <w:tcPr>
            <w:tcW w:w="848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Moody’s: Baa2 (Stable)</w:t>
            </w:r>
          </w:p>
        </w:tc>
      </w:tr>
      <w:tr>
        <w:trPr>
          <w:trHeight w:val="216"/>
        </w:trPr>
        <w:tc>
          <w:tcPr>
            <w:tcW w:w="2760" w:type="dxa"/>
            <w:vAlign w:val="bottom"/>
          </w:tcPr>
          <w:p>
            <w:pPr>
              <w:spacing w:after="0"/>
              <w:rPr>
                <w:sz w:val="18"/>
                <w:szCs w:val="18"/>
                <w:color w:val="auto"/>
              </w:rPr>
            </w:pPr>
          </w:p>
        </w:tc>
        <w:tc>
          <w:tcPr>
            <w:tcW w:w="848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S&amp;P: BBB (Stable)</w:t>
            </w:r>
          </w:p>
        </w:tc>
      </w:tr>
      <w:tr>
        <w:trPr>
          <w:trHeight w:val="234"/>
        </w:trPr>
        <w:tc>
          <w:tcPr>
            <w:tcW w:w="2760" w:type="dxa"/>
            <w:vAlign w:val="bottom"/>
          </w:tcPr>
          <w:p>
            <w:pPr>
              <w:spacing w:after="0"/>
              <w:rPr>
                <w:sz w:val="20"/>
                <w:szCs w:val="20"/>
                <w:color w:val="auto"/>
              </w:rPr>
            </w:pPr>
          </w:p>
        </w:tc>
        <w:tc>
          <w:tcPr>
            <w:tcW w:w="8480" w:type="dxa"/>
            <w:vAlign w:val="bottom"/>
            <w:gridSpan w:val="3"/>
          </w:tcPr>
          <w:p>
            <w:pPr>
              <w:ind w:left="1200"/>
              <w:spacing w:after="0"/>
              <w:rPr>
                <w:sz w:val="20"/>
                <w:szCs w:val="20"/>
                <w:color w:val="auto"/>
              </w:rPr>
            </w:pPr>
            <w:r>
              <w:rPr>
                <w:rFonts w:ascii="Times New Roman" w:cs="Times New Roman" w:eastAsia="Times New Roman" w:hAnsi="Times New Roman"/>
                <w:sz w:val="18"/>
                <w:szCs w:val="18"/>
                <w:color w:val="auto"/>
              </w:rPr>
              <w:t>Fitch: BBB+ (Stable)</w:t>
            </w:r>
          </w:p>
        </w:tc>
      </w:tr>
      <w:tr>
        <w:trPr>
          <w:trHeight w:val="432"/>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Principal Amount:</w:t>
            </w:r>
          </w:p>
        </w:tc>
        <w:tc>
          <w:tcPr>
            <w:tcW w:w="38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$1,200,000,000</w:t>
            </w:r>
          </w:p>
        </w:tc>
        <w:tc>
          <w:tcPr>
            <w:tcW w:w="420" w:type="dxa"/>
            <w:vAlign w:val="bottom"/>
          </w:tcPr>
          <w:p>
            <w:pPr>
              <w:spacing w:after="0"/>
              <w:rPr>
                <w:sz w:val="24"/>
                <w:szCs w:val="24"/>
                <w:color w:val="auto"/>
              </w:rPr>
            </w:pPr>
          </w:p>
        </w:tc>
        <w:tc>
          <w:tcPr>
            <w:tcW w:w="41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42303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9"/>
          <w:szCs w:val="29"/>
          <w:i w:val="1"/>
          <w:iCs w:val="1"/>
          <w:color w:val="auto"/>
          <w:vertAlign w:val="superscript"/>
        </w:rPr>
        <w:t>*</w:t>
      </w:r>
      <w:r>
        <w:rPr>
          <w:rFonts w:ascii="Times New Roman" w:cs="Times New Roman" w:eastAsia="Times New Roman" w:hAnsi="Times New Roman"/>
          <w:sz w:val="18"/>
          <w:szCs w:val="18"/>
          <w:i w:val="1"/>
          <w:iCs w:val="1"/>
          <w:color w:val="auto"/>
        </w:rPr>
        <w:t>Note: A securities rating is not a recommendation to buy, sell or hold securities and may be subject to revision or withdrawal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8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April 1, 2035</w:t>
            </w:r>
          </w:p>
        </w:tc>
      </w:tr>
      <w:tr>
        <w:trPr>
          <w:trHeight w:val="432"/>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Benchmark Treasury:</w:t>
            </w:r>
          </w:p>
        </w:tc>
        <w:tc>
          <w:tcPr>
            <w:tcW w:w="8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UST 4.625%, due February 15, 2035</w:t>
            </w:r>
          </w:p>
        </w:tc>
      </w:tr>
      <w:tr>
        <w:trPr>
          <w:trHeight w:val="432"/>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Benchmark Treasury Price/Yield:</w:t>
            </w:r>
          </w:p>
        </w:tc>
        <w:tc>
          <w:tcPr>
            <w:tcW w:w="8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102-25 / 4.278%</w:t>
            </w:r>
          </w:p>
        </w:tc>
      </w:tr>
      <w:tr>
        <w:trPr>
          <w:trHeight w:val="432"/>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Spread to Benchmark Treasury:</w:t>
            </w:r>
          </w:p>
        </w:tc>
        <w:tc>
          <w:tcPr>
            <w:tcW w:w="8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+128 bps</w:t>
            </w:r>
          </w:p>
        </w:tc>
      </w:tr>
      <w:tr>
        <w:trPr>
          <w:trHeight w:val="432"/>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Yield to Maturity:</w:t>
            </w:r>
          </w:p>
        </w:tc>
        <w:tc>
          <w:tcPr>
            <w:tcW w:w="8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5.558%</w:t>
            </w:r>
          </w:p>
        </w:tc>
      </w:tr>
      <w:tr>
        <w:trPr>
          <w:trHeight w:val="432"/>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Price to Public:</w:t>
            </w:r>
          </w:p>
        </w:tc>
        <w:tc>
          <w:tcPr>
            <w:tcW w:w="8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99.937% of principal amount, plus accrued interest, if any from March 20, 2025</w:t>
            </w:r>
          </w:p>
        </w:tc>
      </w:tr>
      <w:tr>
        <w:trPr>
          <w:trHeight w:val="432"/>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Coupon:</w:t>
            </w:r>
          </w:p>
        </w:tc>
        <w:tc>
          <w:tcPr>
            <w:tcW w:w="8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5.550% per annum</w:t>
            </w:r>
          </w:p>
        </w:tc>
      </w:tr>
      <w:tr>
        <w:trPr>
          <w:trHeight w:val="432"/>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Interest Payment Dates:</w:t>
            </w:r>
          </w:p>
        </w:tc>
        <w:tc>
          <w:tcPr>
            <w:tcW w:w="8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April 1 and October 1, commencing October 1, 2025</w:t>
            </w:r>
          </w:p>
        </w:tc>
      </w:tr>
      <w:tr>
        <w:trPr>
          <w:trHeight w:val="432"/>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Record Dates:</w:t>
            </w:r>
          </w:p>
        </w:tc>
        <w:tc>
          <w:tcPr>
            <w:tcW w:w="8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March 15 and September 15</w:t>
            </w:r>
          </w:p>
        </w:tc>
      </w:tr>
      <w:tr>
        <w:trPr>
          <w:trHeight w:val="414"/>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Optional Redemption:</w:t>
            </w:r>
          </w:p>
        </w:tc>
        <w:tc>
          <w:tcPr>
            <w:tcW w:w="8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At any time prior to January 1, 2035, make whole call as set forth in the preliminary prospectus</w:t>
            </w:r>
          </w:p>
        </w:tc>
      </w:tr>
      <w:tr>
        <w:trPr>
          <w:trHeight w:val="216"/>
        </w:trPr>
        <w:tc>
          <w:tcPr>
            <w:tcW w:w="3180" w:type="dxa"/>
            <w:vAlign w:val="bottom"/>
          </w:tcPr>
          <w:p>
            <w:pPr>
              <w:spacing w:after="0"/>
              <w:rPr>
                <w:sz w:val="18"/>
                <w:szCs w:val="18"/>
                <w:color w:val="auto"/>
              </w:rPr>
            </w:pPr>
          </w:p>
        </w:tc>
        <w:tc>
          <w:tcPr>
            <w:tcW w:w="8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supplement (treasury rate plus 20 basis points), plus accrued interest to, but not including, the</w:t>
            </w:r>
          </w:p>
        </w:tc>
      </w:tr>
      <w:tr>
        <w:trPr>
          <w:trHeight w:val="216"/>
        </w:trPr>
        <w:tc>
          <w:tcPr>
            <w:tcW w:w="3180" w:type="dxa"/>
            <w:vAlign w:val="bottom"/>
          </w:tcPr>
          <w:p>
            <w:pPr>
              <w:spacing w:after="0"/>
              <w:rPr>
                <w:sz w:val="18"/>
                <w:szCs w:val="18"/>
                <w:color w:val="auto"/>
              </w:rPr>
            </w:pPr>
          </w:p>
        </w:tc>
        <w:tc>
          <w:tcPr>
            <w:tcW w:w="8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redemption date. At any time on or after January 1, 2035, at 100% of the principal amount plus</w:t>
            </w:r>
          </w:p>
        </w:tc>
      </w:tr>
      <w:tr>
        <w:trPr>
          <w:trHeight w:val="234"/>
        </w:trPr>
        <w:tc>
          <w:tcPr>
            <w:tcW w:w="3180" w:type="dxa"/>
            <w:vAlign w:val="bottom"/>
          </w:tcPr>
          <w:p>
            <w:pPr>
              <w:spacing w:after="0"/>
              <w:rPr>
                <w:sz w:val="20"/>
                <w:szCs w:val="20"/>
                <w:color w:val="auto"/>
              </w:rPr>
            </w:pPr>
          </w:p>
        </w:tc>
        <w:tc>
          <w:tcPr>
            <w:tcW w:w="8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accrued interest to the redemption date.</w:t>
            </w:r>
          </w:p>
        </w:tc>
      </w:tr>
      <w:tr>
        <w:trPr>
          <w:trHeight w:val="432"/>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CUSIP/ISIN:</w:t>
            </w:r>
          </w:p>
        </w:tc>
        <w:tc>
          <w:tcPr>
            <w:tcW w:w="8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25278X BC2 / US25278XBC20</w:t>
            </w:r>
          </w:p>
        </w:tc>
      </w:tr>
      <w:tr>
        <w:trPr>
          <w:trHeight w:val="414"/>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Joint Book-Running Managers:</w:t>
            </w:r>
          </w:p>
        </w:tc>
        <w:tc>
          <w:tcPr>
            <w:tcW w:w="8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BofA Securities, Inc.</w:t>
            </w:r>
          </w:p>
        </w:tc>
      </w:tr>
      <w:tr>
        <w:trPr>
          <w:trHeight w:val="216"/>
        </w:trPr>
        <w:tc>
          <w:tcPr>
            <w:tcW w:w="3180" w:type="dxa"/>
            <w:vAlign w:val="bottom"/>
          </w:tcPr>
          <w:p>
            <w:pPr>
              <w:spacing w:after="0"/>
              <w:rPr>
                <w:sz w:val="18"/>
                <w:szCs w:val="18"/>
                <w:color w:val="auto"/>
              </w:rPr>
            </w:pPr>
          </w:p>
        </w:tc>
        <w:tc>
          <w:tcPr>
            <w:tcW w:w="8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Barclays Capital Inc.</w:t>
            </w:r>
          </w:p>
        </w:tc>
      </w:tr>
      <w:tr>
        <w:trPr>
          <w:trHeight w:val="216"/>
        </w:trPr>
        <w:tc>
          <w:tcPr>
            <w:tcW w:w="3180" w:type="dxa"/>
            <w:vAlign w:val="bottom"/>
          </w:tcPr>
          <w:p>
            <w:pPr>
              <w:spacing w:after="0"/>
              <w:rPr>
                <w:sz w:val="18"/>
                <w:szCs w:val="18"/>
                <w:color w:val="auto"/>
              </w:rPr>
            </w:pPr>
          </w:p>
        </w:tc>
        <w:tc>
          <w:tcPr>
            <w:tcW w:w="8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PNC Capital Markets LLC</w:t>
            </w:r>
          </w:p>
        </w:tc>
      </w:tr>
      <w:tr>
        <w:trPr>
          <w:trHeight w:val="234"/>
        </w:trPr>
        <w:tc>
          <w:tcPr>
            <w:tcW w:w="3180" w:type="dxa"/>
            <w:vAlign w:val="bottom"/>
          </w:tcPr>
          <w:p>
            <w:pPr>
              <w:spacing w:after="0"/>
              <w:rPr>
                <w:sz w:val="20"/>
                <w:szCs w:val="20"/>
                <w:color w:val="auto"/>
              </w:rPr>
            </w:pPr>
          </w:p>
        </w:tc>
        <w:tc>
          <w:tcPr>
            <w:tcW w:w="8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TD Securities (USA) LLC</w:t>
            </w:r>
          </w:p>
        </w:tc>
      </w:tr>
      <w:tr>
        <w:trPr>
          <w:trHeight w:val="414"/>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Passive Book-Runners:</w:t>
            </w:r>
          </w:p>
        </w:tc>
        <w:tc>
          <w:tcPr>
            <w:tcW w:w="8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Capital One Securities, Inc.</w:t>
            </w:r>
          </w:p>
        </w:tc>
      </w:tr>
      <w:tr>
        <w:trPr>
          <w:trHeight w:val="216"/>
        </w:trPr>
        <w:tc>
          <w:tcPr>
            <w:tcW w:w="3180" w:type="dxa"/>
            <w:vAlign w:val="bottom"/>
          </w:tcPr>
          <w:p>
            <w:pPr>
              <w:spacing w:after="0"/>
              <w:rPr>
                <w:sz w:val="18"/>
                <w:szCs w:val="18"/>
                <w:color w:val="auto"/>
              </w:rPr>
            </w:pPr>
          </w:p>
        </w:tc>
        <w:tc>
          <w:tcPr>
            <w:tcW w:w="8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Scotia Capital (USA) Inc.</w:t>
            </w:r>
          </w:p>
        </w:tc>
      </w:tr>
      <w:tr>
        <w:trPr>
          <w:trHeight w:val="216"/>
        </w:trPr>
        <w:tc>
          <w:tcPr>
            <w:tcW w:w="3180" w:type="dxa"/>
            <w:vAlign w:val="bottom"/>
          </w:tcPr>
          <w:p>
            <w:pPr>
              <w:spacing w:after="0"/>
              <w:rPr>
                <w:sz w:val="18"/>
                <w:szCs w:val="18"/>
                <w:color w:val="auto"/>
              </w:rPr>
            </w:pPr>
          </w:p>
        </w:tc>
        <w:tc>
          <w:tcPr>
            <w:tcW w:w="8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Truist Securities, Inc.</w:t>
            </w:r>
          </w:p>
        </w:tc>
      </w:tr>
      <w:tr>
        <w:trPr>
          <w:trHeight w:val="234"/>
        </w:trPr>
        <w:tc>
          <w:tcPr>
            <w:tcW w:w="3180" w:type="dxa"/>
            <w:vAlign w:val="bottom"/>
          </w:tcPr>
          <w:p>
            <w:pPr>
              <w:spacing w:after="0"/>
              <w:rPr>
                <w:sz w:val="20"/>
                <w:szCs w:val="20"/>
                <w:color w:val="auto"/>
              </w:rPr>
            </w:pPr>
          </w:p>
        </w:tc>
        <w:tc>
          <w:tcPr>
            <w:tcW w:w="80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Wells Fargo Securities, LLC</w:t>
            </w:r>
          </w:p>
        </w:tc>
      </w:tr>
      <w:tr>
        <w:trPr>
          <w:trHeight w:val="398"/>
        </w:trPr>
        <w:tc>
          <w:tcPr>
            <w:tcW w:w="3180" w:type="dxa"/>
            <w:vAlign w:val="bottom"/>
            <w:tcBorders>
              <w:bottom w:val="single" w:sz="8" w:color="auto"/>
            </w:tcBorders>
          </w:tcPr>
          <w:p>
            <w:pPr>
              <w:spacing w:after="0"/>
              <w:rPr>
                <w:sz w:val="24"/>
                <w:szCs w:val="24"/>
                <w:color w:val="auto"/>
              </w:rPr>
            </w:pPr>
          </w:p>
        </w:tc>
        <w:tc>
          <w:tcPr>
            <w:tcW w:w="8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Senior 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Mizuho Securities USA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RBC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 Bancorp Investments,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BOK Financial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Comerica Securities, Inc.</w:t>
      </w:r>
    </w:p>
    <w:p>
      <w:pPr>
        <w:spacing w:after="0" w:line="200" w:lineRule="exact"/>
        <w:rPr>
          <w:sz w:val="20"/>
          <w:szCs w:val="20"/>
          <w:color w:val="auto"/>
        </w:rPr>
      </w:pPr>
    </w:p>
    <w:p>
      <w:pPr>
        <w:sectPr>
          <w:pgSz w:w="11900" w:h="16838" w:orient="portrait"/>
          <w:cols w:equalWidth="0" w:num="2">
            <w:col w:w="3240" w:space="720"/>
            <w:col w:w="7260"/>
          </w:cols>
          <w:pgMar w:left="320" w:top="121" w:right="359" w:bottom="1440" w:gutter="0" w:footer="0" w:header="0"/>
        </w:sectPr>
      </w:pP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center"/>
        <w:ind w:left="40"/>
        <w:spacing w:after="0" w:line="252" w:lineRule="auto"/>
        <w:rPr>
          <w:sz w:val="20"/>
          <w:szCs w:val="20"/>
          <w:color w:val="auto"/>
        </w:rPr>
      </w:pPr>
      <w:r>
        <w:rPr>
          <w:rFonts w:ascii="Times New Roman" w:cs="Times New Roman" w:eastAsia="Times New Roman" w:hAnsi="Times New Roman"/>
          <w:sz w:val="18"/>
          <w:szCs w:val="18"/>
          <w:b w:val="1"/>
          <w:bCs w:val="1"/>
          <w:color w:val="auto"/>
        </w:rPr>
        <w:t>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calling BofA Securities, Inc. toll-free at 1-800-294-1322, Barclays Capital Inc. toll free at 1-888-603-5847, PNC Capital Markets LLC toll free at 1-855-881-0697 or TD Securities (USA) LLC toll free at 1-855-495-9846.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783080" cy="7461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83080" cy="74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Diamondback Energy Prices Offering of Senior Notes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2025</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MIDLAND, Texas, March 6, 2025 (GLOBE NEWSWIRE) -- Diamondback Energy, Inc. (NASDAQ: FANG) (“Diamondback”) announced today that it has priced an offering (the “Notes Offering”) of $1,200,000,000 in aggregate principal amount of 5.550% senior notes that will mature on April 1, 2035 (the “Notes”). The price to the public is 99.937% of the principal amount of the Notes.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Diamondback intends to use the net proceeds from the Notes Offering for general corporate purposes, including, without limitation, paying a portion of the cash consideration for the pending acquisition of certain subsidiaries of Double Eagle IV Midco, LLC and paying fees, costs and expenses related thereto. The Notes Offering is expected to close on March 20, 2025, subject to customary closing conditions.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Notes will be sold in a registered offering pursuant to an effective shelf registration statement on Form S-3ASR that was previously filed with the Securities and Exchange Commission, a prospectus supplement and related base prospectus for the Notes Offering.</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BofA Securities, Inc., Barclays Capital Inc., PNC Capital Markets LLC and TD Securities (USA) LLC have served as joint book-running managers for the Notes Offering. When available, copies of the prospectus supplement and related base prospectus for the Notes Offering may be obtained from BofA Securities, Inc. at NC1-022-02-25, 201 North Tryon Street, Charlotte, North Carolina 28255-0001, Attn: Prospectus Department, by email to dg.prospectus_requests@bofa.com and toll free at 1-800-294-1322; Barclays Capital Inc. at c/o Broadridge Financial Solutions, 1155 Long Island Avenue, Edgewood, NY 11717, by email to barclaysprospectus@broadridge.com and toll free at 1-888-603-5847; PNC Capital Markets LLC at 300 Fifth Avenue, 10th Floor, Pittsburgh, PA 15222, by email to pnccmprospectus@pnc.com and toll free at 1-855-881-0697 and TD Securities (USA) LLC at 1 Vanderbilt Avenue, 11th Floor, New York, NY 10017 and toll free at 1-855-495-9846. Electronic copies of the prospectus supplement and related base prospectus for the Notes Offering will also be available on the website of the Securities and Exchange Commission at www.sec.gov.</w:t>
      </w:r>
    </w:p>
    <w:p>
      <w:pPr>
        <w:spacing w:after="0" w:line="1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This press release is neither an offer to sell nor a solicitation of an offer to buy any of these securities and shall not constitute an offer, solicitation or sale in any jurisdiction in which such offer, solicitation or sale is unlawful. The Notes Offering may only be made by means of a prospectus supplement and related base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Diamondback Energy, Inc.</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Diamondback is an independent oil and natural gas company headquartered in Midland, Texas focused on the acquisition, development, exploration and exploitation of unconventional, onshore oil and natural gas reserves in the Permian Basin in West Texas.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 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federal securities laws, including those relating to the expected timing of the closing of the Notes Offering. All statements, other than historical facts, that address activities that Diamondback assumes, plans, expects, believes, intends or anticipates (and other similar expressions) will, should or may occur in the future are forward-looking statements. The forward-looking statements are based on management’s current beliefs, based on currently available information, as to the outcome and timing of future events. These forward-looking statements involve certain risks and uncertainties that could cause the results to differ materially from those expected by the management of Diamondback. Information concerning these risks and other factors can be found in Diamondback’s filings with the Securities and Exchange Commission, including its Forms 10-K, 10-Q, 8-K, the preliminary prospectus supplement filed by Diamondback for the Notes Offering and any amendments or supplements thereto, which can be obtained free of charge on the Securities and Exchange Commission’s web site at http://www.sec.gov. Diamondback undertakes no obligation to update or revise any forward-looking statement.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Adam Lawlis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+1 432.221.7467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alawlis@diamondbackenergy.com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Diamondback Energy,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1"/>
    </w:lvl>
    <w:lvl w:ilvl="1">
      <w:lvlJc w:val="left"/>
      <w:lvlText w:val="(%2)"/>
      <w:numFmt w:val="lowerLetter"/>
      <w:start w:val="1"/>
    </w:lvl>
  </w:abstractNum>
  <w:abstractNum w:abstractNumId="3">
    <w:nsid w:val="436C6125"/>
    <w:multiLevelType w:val="hybridMultilevel"/>
    <w:lvl w:ilvl="0">
      <w:lvlJc w:val="left"/>
      <w:lvlText w:val="(%1)"/>
      <w:numFmt w:val="lowerLetter"/>
      <w:start w:val="2"/>
    </w:lvl>
  </w:abstractNum>
  <w:abstractNum w:abstractNumId="4">
    <w:nsid w:val="628C895D"/>
    <w:multiLevelType w:val="hybridMultilevel"/>
    <w:lvl w:ilvl="0">
      <w:lvlJc w:val="left"/>
      <w:lvlText w:val="(%1)"/>
      <w:numFmt w:val="lowerLetter"/>
      <w:start w:val="5"/>
    </w:lvl>
  </w:abstractNum>
  <w:abstractNum w:abstractNumId="5">
    <w:nsid w:val="333AB105"/>
    <w:multiLevelType w:val="hybridMultilevel"/>
    <w:lvl w:ilvl="0">
      <w:lvlJc w:val="left"/>
      <w:lvlText w:val="(%1)"/>
      <w:numFmt w:val="lowerLetter"/>
      <w:start w:val="8"/>
    </w:lvl>
  </w:abstractNum>
  <w:abstractNum w:abstractNumId="6">
    <w:nsid w:val="721DA317"/>
    <w:multiLevelType w:val="hybridMultilevel"/>
    <w:lvl w:ilvl="0">
      <w:lvlJc w:val="left"/>
      <w:lvlText w:val="(%1)"/>
      <w:numFmt w:val="lowerLetter"/>
      <w:start w:val="12"/>
    </w:lvl>
  </w:abstractNum>
  <w:abstractNum w:abstractNumId="7">
    <w:nsid w:val="2443A858"/>
    <w:multiLevelType w:val="hybridMultilevel"/>
    <w:lvl w:ilvl="0">
      <w:lvlJc w:val="left"/>
      <w:lvlText w:val="(%1)"/>
      <w:numFmt w:val="lowerLetter"/>
      <w:start w:val="18"/>
    </w:lvl>
  </w:abstractNum>
  <w:abstractNum w:abstractNumId="8">
    <w:nsid w:val="2D1D5AE9"/>
    <w:multiLevelType w:val="hybridMultilevel"/>
    <w:lvl w:ilvl="0">
      <w:lvlJc w:val="left"/>
      <w:lvlText w:val="(%1)"/>
      <w:numFmt w:val="lowerLetter"/>
      <w:start w:val="21"/>
    </w:lvl>
  </w:abstractNum>
  <w:abstractNum w:abstractNumId="9">
    <w:nsid w:val="6763845E"/>
    <w:multiLevelType w:val="hybridMultilevel"/>
    <w:lvl w:ilvl="0">
      <w:lvlJc w:val="left"/>
      <w:lvlText w:val="%1"/>
      <w:numFmt w:val="lowerRoman"/>
      <w:start w:val="1"/>
    </w:lvl>
    <w:lvl w:ilvl="1">
      <w:lvlJc w:val="left"/>
      <w:lvlText w:val="(%2)"/>
      <w:numFmt w:val="lowerLetter"/>
      <w:start w:val="27"/>
    </w:lvl>
  </w:abstractNum>
  <w:abstractNum w:abstractNumId="10">
    <w:nsid w:val="75A2A8D4"/>
    <w:multiLevelType w:val="hybridMultilevel"/>
    <w:lvl w:ilvl="0">
      <w:lvlJc w:val="left"/>
      <w:lvlText w:val="(%1)"/>
      <w:numFmt w:val="lowerRoman"/>
      <w:start w:val="6"/>
    </w:lvl>
    <w:lvl w:ilvl="1">
      <w:lvlJc w:val="left"/>
      <w:lvlText w:val="(%2)"/>
      <w:numFmt w:val="lowerLetter"/>
      <w:start w:val="28"/>
    </w:lvl>
  </w:abstractNum>
  <w:abstractNum w:abstractNumId="11">
    <w:nsid w:val="8EDBDAB"/>
    <w:multiLevelType w:val="hybridMultilevel"/>
    <w:lvl w:ilvl="0">
      <w:lvlJc w:val="left"/>
      <w:lvlText w:val="(%1)"/>
      <w:numFmt w:val="lowerLetter"/>
      <w:start w:val="29"/>
    </w:lvl>
  </w:abstractNum>
  <w:abstractNum w:abstractNumId="12">
    <w:nsid w:val="79838CB2"/>
    <w:multiLevelType w:val="hybridMultilevel"/>
    <w:lvl w:ilvl="0">
      <w:lvlJc w:val="left"/>
      <w:lvlText w:val="(%1)"/>
      <w:numFmt w:val="lowerLetter"/>
      <w:start w:val="35"/>
    </w:lvl>
  </w:abstractNum>
  <w:abstractNum w:abstractNumId="13">
    <w:nsid w:val="4353D0CD"/>
    <w:multiLevelType w:val="hybridMultilevel"/>
    <w:lvl w:ilvl="0">
      <w:lvlJc w:val="left"/>
      <w:lvlText w:val="(%1)"/>
      <w:numFmt w:val="lowerLetter"/>
      <w:start w:val="39"/>
    </w:lvl>
  </w:abstractNum>
  <w:abstractNum w:abstractNumId="14">
    <w:nsid w:val="B03E0C6"/>
    <w:multiLevelType w:val="hybridMultilevel"/>
    <w:lvl w:ilvl="0">
      <w:lvlJc w:val="left"/>
      <w:lvlText w:val="(%1)"/>
      <w:numFmt w:val="lowerLetter"/>
      <w:start w:val="46"/>
    </w:lvl>
  </w:abstractNum>
  <w:abstractNum w:abstractNumId="15">
    <w:nsid w:val="189A769B"/>
    <w:multiLevelType w:val="hybridMultilevel"/>
    <w:lvl w:ilvl="0">
      <w:lvlJc w:val="left"/>
      <w:lvlText w:val="%1."/>
      <w:numFmt w:val="decimal"/>
      <w:start w:val="2"/>
    </w:lvl>
  </w:abstractNum>
  <w:abstractNum w:abstractNumId="16">
    <w:nsid w:val="54E49EB4"/>
    <w:multiLevelType w:val="hybridMultilevel"/>
    <w:lvl w:ilvl="0">
      <w:lvlJc w:val="left"/>
      <w:lvlText w:val="%1."/>
      <w:numFmt w:val="decimal"/>
      <w:start w:val="3"/>
    </w:lvl>
  </w:abstractNum>
  <w:abstractNum w:abstractNumId="17">
    <w:nsid w:val="71F32454"/>
    <w:multiLevelType w:val="hybridMultilevel"/>
    <w:lvl w:ilvl="0">
      <w:lvlJc w:val="left"/>
      <w:lvlText w:val="(%1)"/>
      <w:numFmt w:val="lowerLetter"/>
      <w:start w:val="1"/>
    </w:lvl>
  </w:abstractNum>
  <w:abstractNum w:abstractNumId="18">
    <w:nsid w:val="2CA88611"/>
    <w:multiLevelType w:val="hybridMultilevel"/>
    <w:lvl w:ilvl="0">
      <w:lvlJc w:val="left"/>
      <w:lvlText w:val="(%1)"/>
      <w:numFmt w:val="lowerLetter"/>
      <w:start w:val="2"/>
    </w:lvl>
  </w:abstractNum>
  <w:abstractNum w:abstractNumId="19">
    <w:nsid w:val="836C40E"/>
    <w:multiLevelType w:val="hybridMultilevel"/>
    <w:lvl w:ilvl="0">
      <w:lvlJc w:val="left"/>
      <w:lvlText w:val="%1"/>
      <w:numFmt w:val="lowerRoman"/>
      <w:start w:val="1"/>
    </w:lvl>
    <w:lvl w:ilvl="1">
      <w:lvlJc w:val="left"/>
      <w:lvlText w:val="(%2)"/>
      <w:numFmt w:val="lowerLetter"/>
      <w:start w:val="8"/>
    </w:lvl>
  </w:abstractNum>
  <w:abstractNum w:abstractNumId="20">
    <w:nsid w:val="2901D82"/>
    <w:multiLevelType w:val="hybridMultilevel"/>
    <w:lvl w:ilvl="0">
      <w:lvlJc w:val="left"/>
      <w:lvlText w:val="(%1)"/>
      <w:numFmt w:val="lowerRoman"/>
      <w:start w:val="4"/>
    </w:lvl>
    <w:lvl w:ilvl="1">
      <w:lvlJc w:val="left"/>
      <w:lvlText w:val="(%2)"/>
      <w:numFmt w:val="lowerLetter"/>
      <w:start w:val="10"/>
    </w:lvl>
  </w:abstractNum>
  <w:abstractNum w:abstractNumId="21">
    <w:nsid w:val="3A95F874"/>
    <w:multiLevelType w:val="hybridMultilevel"/>
    <w:lvl w:ilvl="0">
      <w:lvlJc w:val="left"/>
      <w:lvlText w:val="%1."/>
      <w:numFmt w:val="decimal"/>
      <w:start w:val="4"/>
    </w:lvl>
    <w:lvl w:ilvl="1">
      <w:lvlJc w:val="left"/>
      <w:lvlText w:val="(%2)"/>
      <w:numFmt w:val="lowerLetter"/>
      <w:start w:val="1"/>
    </w:lvl>
  </w:abstractNum>
  <w:abstractNum w:abstractNumId="22">
    <w:nsid w:val="8138641"/>
    <w:multiLevelType w:val="hybridMultilevel"/>
    <w:lvl w:ilvl="0">
      <w:lvlJc w:val="left"/>
      <w:lvlText w:val="(%1)"/>
      <w:numFmt w:val="lowerLetter"/>
      <w:start w:val="5"/>
    </w:lvl>
  </w:abstractNum>
  <w:abstractNum w:abstractNumId="23">
    <w:nsid w:val="1E7FF521"/>
    <w:multiLevelType w:val="hybridMultilevel"/>
    <w:lvl w:ilvl="0">
      <w:lvlJc w:val="left"/>
      <w:lvlText w:val="(%1)"/>
      <w:numFmt w:val="lowerLetter"/>
      <w:start w:val="12"/>
    </w:lvl>
  </w:abstractNum>
  <w:abstractNum w:abstractNumId="24">
    <w:nsid w:val="7C3DBD3D"/>
    <w:multiLevelType w:val="hybridMultilevel"/>
    <w:lvl w:ilvl="0">
      <w:lvlJc w:val="left"/>
      <w:lvlText w:val="%1."/>
      <w:numFmt w:val="decimal"/>
      <w:start w:val="6"/>
    </w:lvl>
    <w:lvl w:ilvl="1">
      <w:lvlJc w:val="left"/>
      <w:lvlText w:val="(%2)"/>
      <w:numFmt w:val="lowerLetter"/>
      <w:start w:val="1"/>
    </w:lvl>
  </w:abstractNum>
  <w:abstractNum w:abstractNumId="25">
    <w:nsid w:val="737B8DDC"/>
    <w:multiLevelType w:val="hybridMultilevel"/>
    <w:lvl w:ilvl="0">
      <w:lvlJc w:val="left"/>
      <w:lvlText w:val="(%1)"/>
      <w:numFmt w:val="lowerLetter"/>
      <w:start w:val="3"/>
    </w:lvl>
  </w:abstractNum>
  <w:abstractNum w:abstractNumId="26">
    <w:nsid w:val="6CEAF087"/>
    <w:multiLevelType w:val="hybridMultilevel"/>
    <w:lvl w:ilvl="0">
      <w:lvlJc w:val="left"/>
      <w:lvlText w:val="%1"/>
      <w:numFmt w:val="decimal"/>
      <w:start w:val="1"/>
    </w:lvl>
    <w:lvl w:ilvl="1">
      <w:lvlJc w:val="left"/>
      <w:lvlText w:val="(%2)"/>
      <w:numFmt w:val="lowerLetter"/>
      <w:start w:val="4"/>
    </w:lvl>
  </w:abstractNum>
  <w:abstractNum w:abstractNumId="27">
    <w:nsid w:val="22221A70"/>
    <w:multiLevelType w:val="hybridMultilevel"/>
    <w:lvl w:ilvl="0">
      <w:lvlJc w:val="left"/>
      <w:lvlText w:val="%1."/>
      <w:numFmt w:val="decimal"/>
      <w:start w:val="7"/>
    </w:lvl>
    <w:lvl w:ilvl="1">
      <w:lvlJc w:val="left"/>
      <w:lvlText w:val="%2"/>
      <w:numFmt w:val="lowerLetter"/>
      <w:start w:val="1"/>
    </w:lvl>
  </w:abstractNum>
  <w:abstractNum w:abstractNumId="28">
    <w:nsid w:val="4516DDE9"/>
    <w:multiLevelType w:val="hybridMultilevel"/>
    <w:lvl w:ilvl="0">
      <w:lvlJc w:val="left"/>
      <w:lvlText w:val="%1."/>
      <w:numFmt w:val="decimal"/>
      <w:start w:val="8"/>
    </w:lvl>
  </w:abstractNum>
  <w:abstractNum w:abstractNumId="29">
    <w:nsid w:val="3006C83E"/>
    <w:multiLevelType w:val="hybridMultilevel"/>
    <w:lvl w:ilvl="0">
      <w:lvlJc w:val="left"/>
      <w:lvlText w:val="%1."/>
      <w:numFmt w:val="decimal"/>
      <w:start w:val="9"/>
    </w:lvl>
    <w:lvl w:ilvl="1">
      <w:lvlJc w:val="left"/>
      <w:lvlText w:val="(%2)"/>
      <w:numFmt w:val="lowerLetter"/>
      <w:start w:val="1"/>
    </w:lvl>
  </w:abstractNum>
  <w:abstractNum w:abstractNumId="30">
    <w:nsid w:val="614FD4A1"/>
    <w:multiLevelType w:val="hybridMultilevel"/>
    <w:lvl w:ilvl="0">
      <w:lvlJc w:val="left"/>
      <w:lvlText w:val="%1"/>
      <w:numFmt w:val="decimal"/>
      <w:start w:val="1"/>
    </w:lvl>
    <w:lvl w:ilvl="1">
      <w:lvlJc w:val="left"/>
      <w:lvlText w:val="(%2)"/>
      <w:numFmt w:val="lowerLetter"/>
      <w:start w:val="2"/>
    </w:lvl>
  </w:abstractNum>
  <w:abstractNum w:abstractNumId="31">
    <w:nsid w:val="419AC241"/>
    <w:multiLevelType w:val="hybridMultilevel"/>
    <w:lvl w:ilvl="0">
      <w:lvlJc w:val="left"/>
      <w:lvlText w:val="%1."/>
      <w:numFmt w:val="decimal"/>
      <w:start w:val="13"/>
    </w:lvl>
    <w:lvl w:ilvl="1">
      <w:lvlJc w:val="left"/>
      <w:lvlText w:val="%2"/>
      <w:numFmt w:val="lowerLetter"/>
      <w:start w:val="1"/>
    </w:lvl>
  </w:abstractNum>
  <w:abstractNum w:abstractNumId="32">
    <w:nsid w:val="5577F8E1"/>
    <w:multiLevelType w:val="hybridMultilevel"/>
    <w:lvl w:ilvl="0">
      <w:lvlJc w:val="left"/>
      <w:lvlText w:val="%1."/>
      <w:numFmt w:val="decimal"/>
      <w:start w:val="14"/>
    </w:lvl>
    <w:lvl w:ilvl="1">
      <w:lvlJc w:val="left"/>
      <w:lvlText w:val="(%2)"/>
      <w:numFmt w:val="lowerLetter"/>
      <w:start w:val="1"/>
    </w:lvl>
  </w:abstractNum>
  <w:abstractNum w:abstractNumId="33">
    <w:nsid w:val="440BADFC"/>
    <w:multiLevelType w:val="hybridMultilevel"/>
    <w:lvl w:ilvl="0">
      <w:lvlJc w:val="left"/>
      <w:lvlText w:val="(%1)"/>
      <w:numFmt w:val="lowerLetter"/>
      <w:start w:val="2"/>
    </w:lvl>
  </w:abstractNum>
  <w:abstractNum w:abstractNumId="34">
    <w:nsid w:val="5072367"/>
    <w:multiLevelType w:val="hybridMultilevel"/>
    <w:lvl w:ilvl="0">
      <w:lvlJc w:val="left"/>
      <w:lvlText w:val="(%1)"/>
      <w:numFmt w:val="lowerRoman"/>
      <w:start w:val="1"/>
    </w:lvl>
  </w:abstractNum>
  <w:abstractNum w:abstractNumId="35">
    <w:nsid w:val="3804823E"/>
    <w:multiLevelType w:val="hybridMultilevel"/>
    <w:lvl w:ilvl="0">
      <w:lvlJc w:val="left"/>
      <w:lvlText w:val="%1"/>
      <w:numFmt w:val="upperLetter"/>
      <w:start w:val="35"/>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2025-03-10T07:17:53Z</dcterms:created>
  <dcterms:modified xsi:type="dcterms:W3CDTF">2025-03-10T07:17:53Z</dcterms:modified>
</cp:coreProperties>
</file>