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16216.xml.htm"/>
      <w:bookmarkStart w:id="1" w:name="kswkform4_17894162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Barkmann Albert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TEXAS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Diamondback Energy, Inc.</w:t>
              </w:r>
            </w:hyperlink>
            <w:r>
              <w:rPr/>
              <w:t xml:space="preserve"> [ </w:t>
            </w:r>
            <w:r>
              <w:rPr>
                <w:rFonts w:ascii="Times;serif" w:hAnsi="Times;serif"/>
                <w:color w:val="0000FF"/>
                <w:sz w:val="24"/>
                <w:shd w:fill="FFFFFF" w:val="clear"/>
              </w:rPr>
              <w:t>FANG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 VP and Chief Engineer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682</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202.63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23,889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withheld shares of common stock that would have otherwise been issuable to the reporting person to satisfy the issuer's tax withholding obligations in connection with the vesting and settlement on September 10, 2026 of the second tranche of the time-based restricted stock units granted to the reporting person on September 10, 2024. The number of shares of common stock withheld was determined based on the closing price per share of the issuer's common stock on September 9,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 Zmigrosky, as attorney-in-fact for Albert Barkmann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2976" TargetMode="External"/><Relationship Id="rId5" Type="http://schemas.openxmlformats.org/officeDocument/2006/relationships/hyperlink" Target="http://www.sec.gov/cgi-bin/browse-edgar?action=getcompany&amp;CIK=0001539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3529</Characters>
  <CharactersWithSpaces>4112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