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18"/>
        </w:rPr>
        <w:t>July 13, 2026</w:t>
      </w:r>
      <w:r>
        <w:rPr>
          <w:color w:val="000000"/>
        </w:rPr>
        <w:t xml:space="preserve"> </w:t>
      </w:r>
    </w:p>
    <w:p>
      <w:pPr>
        <w:pStyle w:val="TextBody"/>
        <w:bidi w:val="0"/>
        <w:spacing w:lineRule="auto" w:line="288" w:before="0" w:after="0"/>
        <w:jc w:val="center"/>
        <w:rPr>
          <w:rFonts w:ascii="Times New Roman;serif" w:hAnsi="Times New Roman;serif"/>
          <w:b w:val="false"/>
          <w:color w:val="808080"/>
          <w:sz w:val="18"/>
        </w:rPr>
      </w:pPr>
      <w:r>
        <w:rPr>
          <w:rFonts w:ascii="Times New Roman;serif" w:hAnsi="Times New Roman;serif"/>
          <w:b w:val="false"/>
          <w:color w:val="808080"/>
          <w:sz w:val="18"/>
        </w:rPr>
        <w:t>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DIAMONDBACK ENERGY, INC.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69" w:type="dxa"/>
        <w:jc w:val="center"/>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871"/>
        <w:gridCol w:w="871"/>
        <w:gridCol w:w="88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001-35700</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45-4502447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79701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w:t>
              <w:b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(432) 221-7400 </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Soliciting material pursuant to Rule 14a-12 under the Exchange Act (17 CFR 240.14a-12)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Pre-commencement communications pursuant to Rule 14d-2(b) under the Exchange Act (17 CFR 240.14d-2(b))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Securities Exchange Act of 1934:</w:t>
      </w:r>
    </w:p>
    <w:tbl>
      <w:tblPr>
        <w:tblW w:w="7827" w:type="dxa"/>
        <w:jc w:val="center"/>
        <w:tblInd w:w="0" w:type="dxa"/>
        <w:tblLayout w:type="fixed"/>
        <w:tblCellMar>
          <w:top w:w="28" w:type="dxa"/>
          <w:left w:w="28" w:type="dxa"/>
          <w:bottom w:w="28" w:type="dxa"/>
          <w:right w:w="28" w:type="dxa"/>
        </w:tblCellMar>
      </w:tblPr>
      <w:tblGrid>
        <w:gridCol w:w="1106"/>
        <w:gridCol w:w="970"/>
        <w:gridCol w:w="983"/>
        <w:gridCol w:w="484"/>
        <w:gridCol w:w="484"/>
        <w:gridCol w:w="48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FANG</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Energy, Inc. (“Diamondback”) presents in this Item 2.02 certain information for the quarter ended June 30, 2026 regarding its realized prices, derivative activity and weighted average basic and diluted shares outstanding.</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Realized Prices</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Second quarter 2026 average unhedged realized prices were $96.82 per barrel of oil, $(2.15) per Mcf of natural gas and $18.56 per barrel of natural gas liquids (“NGLs”).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Second quarter 2026 average realized hedged prices were $94.33 per barrel of oil, $(0.34) per Mcf of natural gas and $18.56 per barrel of NGLs.</w:t>
      </w:r>
    </w:p>
    <w:p>
      <w:pPr>
        <w:pStyle w:val="TextBody"/>
        <w:bidi w:val="0"/>
        <w:spacing w:before="0" w:after="0"/>
        <w:jc w:val="left"/>
        <w:rPr/>
      </w:pPr>
      <w:r>
        <w:rPr/>
      </w:r>
    </w:p>
    <w:tbl>
      <w:tblPr>
        <w:tblW w:w="5273" w:type="dxa"/>
        <w:jc w:val="left"/>
        <w:tblInd w:w="0" w:type="dxa"/>
        <w:tblLayout w:type="fixed"/>
        <w:tblCellMar>
          <w:top w:w="28" w:type="dxa"/>
          <w:left w:w="28" w:type="dxa"/>
          <w:bottom w:w="28" w:type="dxa"/>
          <w:right w:w="28" w:type="dxa"/>
        </w:tblCellMar>
      </w:tblPr>
      <w:tblGrid>
        <w:gridCol w:w="1237"/>
        <w:gridCol w:w="1090"/>
        <w:gridCol w:w="1093"/>
        <w:gridCol w:w="211"/>
        <w:gridCol w:w="616"/>
        <w:gridCol w:w="109"/>
        <w:gridCol w:w="109"/>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Prices: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 xml:space="preserve">(1)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Derivative Activity</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2026, Diamondback anticipates a net gain on cash settlements for derivative instruments of $113 million and a net non-cash loss on derivative instruments of $64 million as detailed in the table below (in millions): </w:t>
      </w:r>
    </w:p>
    <w:p>
      <w:pPr>
        <w:pStyle w:val="TextBody"/>
        <w:bidi w:val="0"/>
        <w:spacing w:before="0" w:after="0"/>
        <w:jc w:val="both"/>
        <w:rPr/>
      </w:pPr>
      <w:r>
        <w:rPr/>
      </w:r>
    </w:p>
    <w:tbl>
      <w:tblPr>
        <w:tblW w:w="4340" w:type="dxa"/>
        <w:jc w:val="left"/>
        <w:tblInd w:w="0" w:type="dxa"/>
        <w:tblLayout w:type="fixed"/>
        <w:tblCellMar>
          <w:top w:w="28" w:type="dxa"/>
          <w:left w:w="28" w:type="dxa"/>
          <w:bottom w:w="28" w:type="dxa"/>
          <w:right w:w="28" w:type="dxa"/>
        </w:tblCellMar>
      </w:tblPr>
      <w:tblGrid>
        <w:gridCol w:w="1270"/>
        <w:gridCol w:w="1118"/>
        <w:gridCol w:w="1121"/>
        <w:gridCol w:w="211"/>
        <w:gridCol w:w="46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Commodity contracts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on settlements: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Commodity contracts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cash received on commodity contracts terminated prior to their contractual maturity of $1 million.</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 xml:space="preserve">Weighted Average Basic and Diluted Shares Outstanding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2026, basic and diluted weighted average shares outstanding are as follows (in thousands):</w:t>
      </w:r>
    </w:p>
    <w:p>
      <w:pPr>
        <w:pStyle w:val="TextBody"/>
        <w:bidi w:val="0"/>
        <w:spacing w:before="0" w:after="0"/>
        <w:jc w:val="both"/>
        <w:rPr/>
      </w:pPr>
      <w:r>
        <w:rPr/>
      </w:r>
    </w:p>
    <w:tbl>
      <w:tblPr>
        <w:tblW w:w="4745" w:type="dxa"/>
        <w:jc w:val="left"/>
        <w:tblInd w:w="0" w:type="dxa"/>
        <w:tblLayout w:type="fixed"/>
        <w:tblCellMar>
          <w:top w:w="28" w:type="dxa"/>
          <w:left w:w="28" w:type="dxa"/>
          <w:bottom w:w="28" w:type="dxa"/>
          <w:right w:w="28" w:type="dxa"/>
        </w:tblCellMar>
      </w:tblPr>
      <w:tblGrid>
        <w:gridCol w:w="1364"/>
        <w:gridCol w:w="1199"/>
        <w:gridCol w:w="1202"/>
        <w:gridCol w:w="413"/>
        <w:gridCol w:w="413"/>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Sitio acquisition completed by Diamondback's subsidiary, Viper Energy, Inc. and other acquisitions, divestitures or reorganizations);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markets;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those risks described in Item 1A of Diamondback’s Annual Report on Form 10-K, filed with the SEC on February 25, 2026, and those risks disclosed in its subsequent filings on Forms 10-K, 10-Q and 8-K, which can be obtained free of charge on the SEC’s website at http://www.sec.gov and Diamondback’s website at www.diamondbackenergy.com/investors.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release or, if earlier, as of the date they were made. Diamondback does not intend to, and disclaims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701"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450"/>
        <w:gridCol w:w="450"/>
        <w:gridCol w:w="450"/>
        <w:gridCol w:w="1825"/>
        <w:gridCol w:w="1825"/>
        <w:gridCol w:w="26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Assistant Secretary</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1318</Words>
  <Characters>7767</Characters>
  <CharactersWithSpaces>9009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