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20"/>
        <w:jc w:val="center"/>
        <w:rPr>
          <w:rFonts w:ascii="Times New Roman;serif" w:hAnsi="Times New Roman;serif"/>
          <w:b w:val="false"/>
          <w:color w:val="808080"/>
          <w:sz w:val="24"/>
        </w:rPr>
      </w:pPr>
      <w:r>
        <w:rPr>
          <w:rFonts w:ascii="Times New Roman;serif" w:hAnsi="Times New Roman;serif"/>
          <w:b w:val="false"/>
          <w:color w:val="808080"/>
          <w:sz w:val="24"/>
        </w:rPr>
        <w:t>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3, 2026</w:t>
      </w:r>
    </w:p>
    <w:p>
      <w:pPr>
        <w:pStyle w:val="TextBody"/>
        <w:bidi w:val="0"/>
        <w:spacing w:lineRule="auto" w:line="288" w:before="0" w:after="0"/>
        <w:jc w:val="center"/>
        <w:rPr>
          <w:rFonts w:ascii="Times New Roman;serif" w:hAnsi="Times New Roman;serif"/>
          <w:b w:val="false"/>
          <w:color w:val="808080"/>
          <w:sz w:val="18"/>
        </w:rPr>
      </w:pPr>
      <w:r>
        <w:rPr>
          <w:rFonts w:ascii="Times New Roman;serif" w:hAnsi="Times New Roman;serif"/>
          <w:b w:val="false"/>
          <w:color w:val="808080"/>
          <w:sz w:val="18"/>
        </w:rPr>
        <w:t>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DIAMONDBACK ENERGY, INC.</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035" w:type="dxa"/>
        <w:jc w:val="center"/>
        <w:tblInd w:w="0" w:type="dxa"/>
        <w:tblLayout w:type="fixed"/>
        <w:tblCellMar>
          <w:top w:w="28" w:type="dxa"/>
          <w:left w:w="28" w:type="dxa"/>
          <w:bottom w:w="28" w:type="dxa"/>
          <w:right w:w="28" w:type="dxa"/>
        </w:tblCellMar>
      </w:tblPr>
      <w:tblGrid>
        <w:gridCol w:w="587"/>
        <w:gridCol w:w="516"/>
        <w:gridCol w:w="516"/>
        <w:gridCol w:w="516"/>
        <w:gridCol w:w="516"/>
        <w:gridCol w:w="528"/>
        <w:gridCol w:w="332"/>
        <w:gridCol w:w="332"/>
        <w:gridCol w:w="332"/>
        <w:gridCol w:w="332"/>
        <w:gridCol w:w="332"/>
        <w:gridCol w:w="334"/>
        <w:gridCol w:w="827"/>
        <w:gridCol w:w="827"/>
        <w:gridCol w:w="836"/>
        <w:gridCol w:w="109"/>
        <w:gridCol w:w="109"/>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DE</w:t>
            </w:r>
          </w:p>
        </w:tc>
        <w:tc>
          <w:tcPr>
            <w:tcW w:w="1994"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001-35700</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45-4502447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500 West Texas Ave.,</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Suite 100</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Midland, TX</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79701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(Address of principal </w:t>
              <w:br/>
              <w:t>executive offices)</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(432) 221-7400 </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w:t>
      </w:r>
    </w:p>
    <w:p>
      <w:pPr>
        <w:pStyle w:val="TextBody"/>
        <w:bidi w:val="0"/>
        <w:spacing w:before="0" w:after="0"/>
        <w:jc w:val="center"/>
        <w:rPr/>
      </w:pPr>
      <w:r>
        <w:rPr/>
      </w:r>
    </w:p>
    <w:p>
      <w:pPr>
        <w:pStyle w:val="TextBody"/>
        <w:bidi w:val="0"/>
        <w:spacing w:lineRule="auto" w:line="288" w:before="0" w:after="0"/>
        <w:ind w:left="0" w:right="0" w:firstLine="720"/>
        <w:jc w:val="left"/>
        <w:rPr/>
      </w:pPr>
      <w:r>
        <w:rPr>
          <w:color w:val="000000"/>
        </w:rPr>
        <w:t xml:space="preserve">☐ </w:t>
      </w:r>
      <w:r>
        <w:rPr>
          <w:rFonts w:ascii="Times New Roman;serif" w:hAnsi="Times New Roman;serif"/>
          <w:b w:val="false"/>
          <w:color w:val="000000"/>
          <w:sz w:val="16"/>
        </w:rPr>
        <w:t>Written communications pursuant to Rule 425 under the Securities Act (17 CFR 230.425)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color w:val="000000"/>
        </w:rPr>
        <w:t xml:space="preserve">☐ </w:t>
      </w:r>
      <w:r>
        <w:rPr>
          <w:rFonts w:ascii="Times New Roman;serif" w:hAnsi="Times New Roman;serif"/>
          <w:b w:val="false"/>
          <w:color w:val="231F20"/>
          <w:sz w:val="16"/>
        </w:rPr>
        <w:t>Soliciting material pursuant to Rule 14a-12 under the Exchange Act (17 CFR 240.14a-12)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color w:val="000000"/>
        </w:rPr>
        <w:t xml:space="preserve">☐ </w:t>
      </w:r>
      <w:r>
        <w:rPr>
          <w:rFonts w:ascii="Times New Roman;serif" w:hAnsi="Times New Roman;serif"/>
          <w:b w:val="false"/>
          <w:color w:val="231F20"/>
          <w:sz w:val="16"/>
        </w:rPr>
        <w:t>Pre-commencement communications pursuant to Rule 14d-2(b) under the Exchange Act (17 CFR 240.14d-2(b))</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color w:val="000000"/>
        </w:rPr>
        <w:t>☐</w:t>
      </w:r>
      <w:r>
        <w:rPr>
          <w:color w:val="231F20"/>
        </w:rPr>
        <w:t xml:space="preserve"> </w:t>
      </w:r>
      <w:r>
        <w:rPr>
          <w:rFonts w:ascii="Times New Roman;serif" w:hAnsi="Times New Roman;serif"/>
          <w:b w:val="false"/>
          <w:color w:val="231F20"/>
          <w:sz w:val="16"/>
        </w:rPr>
        <w:t>Pre-commencement communications pursuant to Rule 13e-4(c) under the Exchange Act (17 CFR 240.13e-4(c))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827" w:type="dxa"/>
        <w:jc w:val="center"/>
        <w:tblInd w:w="0" w:type="dxa"/>
        <w:tblLayout w:type="fixed"/>
        <w:tblCellMar>
          <w:top w:w="28" w:type="dxa"/>
          <w:left w:w="28" w:type="dxa"/>
          <w:bottom w:w="28" w:type="dxa"/>
          <w:right w:w="28" w:type="dxa"/>
        </w:tblCellMar>
      </w:tblPr>
      <w:tblGrid>
        <w:gridCol w:w="1106"/>
        <w:gridCol w:w="970"/>
        <w:gridCol w:w="983"/>
        <w:gridCol w:w="484"/>
        <w:gridCol w:w="484"/>
        <w:gridCol w:w="486"/>
        <w:gridCol w:w="970"/>
        <w:gridCol w:w="970"/>
        <w:gridCol w:w="1374"/>
      </w:tblGrid>
      <w:tr>
        <w:trPr/>
        <w:tc>
          <w:tcPr>
            <w:tcW w:w="110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FANG</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3, 2026, Diamondback Energy, Inc. (the “Company”) issued a press release announcing financial and operating results for the second quarter ended June 30, 2026, including the second quarter 2026 base cash dividend (the “earnings release”). A copy of the earnings release is furnished to the Securities and Exchange Commission (the “SEC”) as Exhibit 99.1 to this Current Report on Form 8-K. The Company also issued a letter to its stockholders as a supplement to the earnings release, which is furnished to the SEC as Exhibit 99.2 to this Current Report on Form 8-K.</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62"/>
        <w:gridCol w:w="406"/>
        <w:gridCol w:w="408"/>
        <w:gridCol w:w="109"/>
        <w:gridCol w:w="109"/>
        <w:gridCol w:w="109"/>
        <w:gridCol w:w="2510"/>
        <w:gridCol w:w="2510"/>
        <w:gridCol w:w="3582"/>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12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both"/>
              <w:rPr/>
            </w:pPr>
            <w:hyperlink w:anchor="diamondbackex991-8x3x26.htm">
              <w:r>
                <w:rPr>
                  <w:rStyle w:val="InternetLink"/>
                  <w:rFonts w:ascii="Times New Roman;serif" w:hAnsi="Times New Roman;serif"/>
                  <w:b w:val="false"/>
                  <w:color w:val="0000FF"/>
                  <w:sz w:val="20"/>
                  <w:u w:val="single"/>
                </w:rPr>
                <w:t>Press release, dated August 3, 2026, entitled “Diamondback Energy, Inc. Announces Second Quarter 2026 Financial and Operating Results.”</w:t>
              </w:r>
            </w:hyperlink>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diamondbackex992-8x3x26.htm">
              <w:r>
                <w:rPr>
                  <w:rStyle w:val="InternetLink"/>
                  <w:rFonts w:ascii="Times New Roman;serif" w:hAnsi="Times New Roman;serif"/>
                  <w:b w:val="false"/>
                  <w:color w:val="0000FF"/>
                  <w:sz w:val="20"/>
                  <w:u w:val="single"/>
                </w:rPr>
                <w:t>Letter to Stockholders, dated August 3, 2026, issued by the Company.</w:t>
              </w:r>
            </w:hyperlink>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3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906"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450"/>
        <w:gridCol w:w="450"/>
        <w:gridCol w:w="450"/>
        <w:gridCol w:w="1554"/>
        <w:gridCol w:w="1554"/>
        <w:gridCol w:w="221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DIAMONDBACK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3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of Accounting and Assistant Secretary</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right"/>
        <w:rPr/>
      </w:pPr>
      <w:r>
        <w:rPr/>
      </w:r>
    </w:p>
    <w:p>
      <w:pPr>
        <w:pStyle w:val="TextBody"/>
        <w:bidi w:val="0"/>
        <w:spacing w:before="0" w:after="0"/>
        <w:jc w:val="left"/>
        <w:rPr/>
      </w:pPr>
      <w:r>
        <w:rPr/>
        <w:drawing>
          <wp:inline distT="0" distB="0" distL="0" distR="0">
            <wp:extent cx="2857500" cy="10382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857500" cy="1038225"/>
                    </a:xfrm>
                    <a:prstGeom prst="rect">
                      <a:avLst/>
                    </a:prstGeom>
                  </pic:spPr>
                </pic:pic>
              </a:graphicData>
            </a:graphic>
          </wp:inline>
        </w:drawing>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DIAMONDBACK ENERGY, INC. ANNOUNCES SECOND QUARTER 2026 FINANCIAL AND OPERATING RESULTS</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Midland, TX (August 3, 2026) - Diamondback Energy, Inc. (NASDAQ: FANG) (“Diamondback,” “we,” “our” or the “Company”) today announced financial and operating results for the second quarter ended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SECOND QUARTER 2026 HIGHLIGHTS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Average oil production of 525 MBO/d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Production of 1,018 MBOE/d, surpassing the 1.0 million barrels of oil equivalent per day milestone</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Net cash provided by operating activities of $3.6 billion; Operating Cash Flow Before Working Capital Changes</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of $3.3 billion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Cash capital expenditures of $996 million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Free Cash Flow</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and Adjusted Free Cash Flow</w:t>
      </w:r>
      <w:r>
        <w:rPr>
          <w:rFonts w:ascii="Times New Roman;serif" w:hAnsi="Times New Roman;serif"/>
          <w:b w:val="false"/>
          <w:color w:val="000000"/>
          <w:sz w:val="16"/>
        </w:rPr>
        <w:t xml:space="preserve">1 </w:t>
      </w:r>
      <w:r>
        <w:rPr>
          <w:rFonts w:ascii="Times New Roman;serif" w:hAnsi="Times New Roman;serif"/>
          <w:b w:val="false"/>
          <w:color w:val="000000"/>
          <w:sz w:val="24"/>
        </w:rPr>
        <w:t>of $2.3 billion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 xml:space="preserve">Repurchased 756,385 shares of common stock for approximately $141 million </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Declared base cash dividend of $1.10 per share</w:t>
      </w:r>
      <w:r>
        <w:rPr>
          <w:rFonts w:ascii="Times New Roman;serif" w:hAnsi="Times New Roman;serif"/>
          <w:b w:val="false"/>
          <w:color w:val="000000"/>
          <w:sz w:val="16"/>
        </w:rPr>
        <w:t>2</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Reduced total debt by ~$1.3 billion quarter over quarter to $12.8 billion and net debt</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by ~$1.6 billion quarter over quarter to $12.3 billion</w:t>
      </w:r>
    </w:p>
    <w:p>
      <w:pPr>
        <w:pStyle w:val="TextBody"/>
        <w:bidi w:val="0"/>
        <w:spacing w:before="0" w:after="0"/>
        <w:ind w:left="0" w:right="0" w:firstLine="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4"/>
          <w:u w:val="single"/>
        </w:rPr>
      </w:pPr>
      <w:r>
        <w:rPr>
          <w:rFonts w:ascii="Times New Roman;serif" w:hAnsi="Times New Roman;serif"/>
          <w:b/>
          <w:color w:val="000000"/>
          <w:sz w:val="24"/>
          <w:u w:val="single"/>
        </w:rPr>
        <w:t>UPDATED 2026 GUIDANCE HIGHLIGHTS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Increasing annual oil production guidance to 522+ (from 520+) MBO/d and total BOE production to 1,000+ (from 972+) MBOE/d with full year cash capital expenditures unchanged at ~$3.9 billion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Q3 2026 oil production guidance of 517 - 527 MBO/d (995 - 1,015 MBOE/d)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Q3 2026 cash capital expenditures guidance of $950 - $1,050 million</w:t>
      </w:r>
    </w:p>
    <w:p>
      <w:pPr>
        <w:pStyle w:val="TextBody"/>
        <w:bidi w:val="0"/>
        <w:spacing w:before="0" w:after="0"/>
        <w:ind w:left="0" w:right="0" w:firstLine="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4"/>
          <w:u w:val="single"/>
        </w:rPr>
      </w:pPr>
      <w:r>
        <w:rPr>
          <w:rFonts w:ascii="Times New Roman;serif" w:hAnsi="Times New Roman;serif"/>
          <w:b/>
          <w:color w:val="000000"/>
          <w:sz w:val="24"/>
          <w:u w:val="single"/>
        </w:rPr>
        <w:t>RECENT HIGHLIGHTS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Repurch</w:t>
      </w:r>
      <w:r>
        <w:rPr>
          <w:rFonts w:ascii="Times New Roman;serif" w:hAnsi="Times New Roman;serif"/>
          <w:b w:val="false"/>
          <w:color w:val="000000"/>
          <w:sz w:val="24"/>
          <w:shd w:fill="FFFFFF" w:val="clear"/>
        </w:rPr>
        <w:t xml:space="preserve">ased </w:t>
      </w:r>
      <w:r>
        <w:rPr>
          <w:rFonts w:ascii="Times New Roman;serif" w:hAnsi="Times New Roman;serif"/>
          <w:b w:val="false"/>
          <w:color w:val="000000"/>
          <w:sz w:val="24"/>
        </w:rPr>
        <w:t>547,716</w:t>
      </w:r>
      <w:r>
        <w:rPr>
          <w:color w:val="000000"/>
          <w:shd w:fill="FFFFFF" w:val="clear"/>
        </w:rPr>
        <w:t xml:space="preserve"> </w:t>
      </w:r>
      <w:r>
        <w:rPr>
          <w:rFonts w:ascii="Times New Roman;serif" w:hAnsi="Times New Roman;serif"/>
          <w:b w:val="false"/>
          <w:color w:val="000000"/>
          <w:sz w:val="24"/>
          <w:shd w:fill="FFFFFF" w:val="clear"/>
        </w:rPr>
        <w:t>sh</w:t>
      </w:r>
      <w:r>
        <w:rPr>
          <w:rFonts w:ascii="Times New Roman;serif" w:hAnsi="Times New Roman;serif"/>
          <w:b w:val="false"/>
          <w:color w:val="000000"/>
          <w:sz w:val="24"/>
        </w:rPr>
        <w:t xml:space="preserve">ares of common stock in Q3 2026 (to date) for approximately $100 million </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In July, the Board of Directors (the “Board”) doubled the Company's share repurchase authorization to $16.0 billion from $8.0 billion previously. Approximately $9.9 billion remains available for future repurchases under the program</w:t>
      </w:r>
    </w:p>
    <w:p>
      <w:pPr>
        <w:pStyle w:val="TextBody"/>
        <w:bidi w:val="0"/>
        <w:spacing w:before="0" w:after="0"/>
        <w:ind w:left="0" w:right="0" w:firstLine="90"/>
        <w:jc w:val="both"/>
        <w:rPr/>
      </w:pPr>
      <w:r>
        <w:rPr/>
      </w:r>
    </w:p>
    <w:p>
      <w:pPr>
        <w:pStyle w:val="TextBody"/>
        <w:bidi w:val="0"/>
        <w:spacing w:lineRule="auto" w:line="288" w:before="0" w:after="0"/>
        <w:ind w:left="0" w:right="0" w:hanging="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u w:val="single"/>
        </w:rPr>
        <w:t xml:space="preserve">NON-GAAP DISCLOSURES - </w:t>
      </w:r>
      <w:r>
        <w:rPr>
          <w:rFonts w:ascii="Times New Roman;serif" w:hAnsi="Times New Roman;serif"/>
          <w:b w:val="false"/>
          <w:color w:val="000000"/>
          <w:sz w:val="18"/>
        </w:rPr>
        <w:t>For a definition of Operating Cash Flow Before Working Capital Changes, Free Cash Flow, Adjusted Free Cash Flow, Adjusted Net Income, Adjusted EBITDA, Adjusted Net Income per Diluted Share, Net Debt and reconciliations of such non-GAAP financial metrics to their respective most directly comparable GAAP metrics, please see “Non-GAAP Financial Measures” below.</w:t>
      </w:r>
    </w:p>
    <w:p>
      <w:pPr>
        <w:pStyle w:val="TextBody"/>
        <w:bidi w:val="0"/>
        <w:spacing w:lineRule="auto" w:line="288" w:before="0" w:after="0"/>
        <w:ind w:left="0" w:right="0" w:hanging="18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Implies a 2.2% annualized yield. Cash dividend payable on August 20, 2026; annualized yield based on July 31, 2026 closing share price of $202.95.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u w:val="single"/>
          <w:shd w:fill="FFFFFF" w:val="clear"/>
        </w:rPr>
        <w:t>SECOND QUARTER</w:t>
      </w:r>
      <w:r>
        <w:rPr>
          <w:color w:val="000000"/>
          <w:u w:val="single"/>
        </w:rPr>
        <w:t xml:space="preserve"> </w:t>
      </w:r>
      <w:r>
        <w:rPr>
          <w:rFonts w:ascii="Times New Roman;serif" w:hAnsi="Times New Roman;serif"/>
          <w:b/>
          <w:color w:val="000000"/>
          <w:sz w:val="24"/>
          <w:u w:val="single"/>
          <w:shd w:fill="FFFFFF" w:val="clear"/>
        </w:rPr>
        <w:t>2026</w:t>
      </w:r>
      <w:r>
        <w:rPr>
          <w:color w:val="000000"/>
          <w:u w:val="single"/>
        </w:rPr>
        <w:t xml:space="preserve"> </w:t>
      </w:r>
      <w:r>
        <w:rPr>
          <w:rFonts w:ascii="Times New Roman;serif" w:hAnsi="Times New Roman;serif"/>
          <w:b/>
          <w:color w:val="000000"/>
          <w:sz w:val="24"/>
          <w:u w:val="single"/>
        </w:rPr>
        <w:t>OPERATIONS UPDATE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tables provide a summary of Diamondback’s key operational updates: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Wells Drilled and Completed:</w:t>
      </w:r>
    </w:p>
    <w:tbl>
      <w:tblPr>
        <w:tblW w:w="8067" w:type="dxa"/>
        <w:jc w:val="left"/>
        <w:tblInd w:w="0" w:type="dxa"/>
        <w:tblLayout w:type="fixed"/>
        <w:tblCellMar>
          <w:top w:w="28" w:type="dxa"/>
          <w:left w:w="28" w:type="dxa"/>
          <w:bottom w:w="28" w:type="dxa"/>
          <w:right w:w="28" w:type="dxa"/>
        </w:tblCellMar>
      </w:tblPr>
      <w:tblGrid>
        <w:gridCol w:w="201"/>
        <w:gridCol w:w="177"/>
        <w:gridCol w:w="178"/>
        <w:gridCol w:w="185"/>
        <w:gridCol w:w="185"/>
        <w:gridCol w:w="186"/>
        <w:gridCol w:w="135"/>
        <w:gridCol w:w="135"/>
        <w:gridCol w:w="135"/>
        <w:gridCol w:w="182"/>
        <w:gridCol w:w="179"/>
        <w:gridCol w:w="135"/>
        <w:gridCol w:w="135"/>
        <w:gridCol w:w="135"/>
        <w:gridCol w:w="135"/>
        <w:gridCol w:w="233"/>
        <w:gridCol w:w="233"/>
        <w:gridCol w:w="186"/>
        <w:gridCol w:w="135"/>
        <w:gridCol w:w="135"/>
        <w:gridCol w:w="135"/>
        <w:gridCol w:w="235"/>
        <w:gridCol w:w="231"/>
        <w:gridCol w:w="135"/>
        <w:gridCol w:w="109"/>
        <w:gridCol w:w="109"/>
        <w:gridCol w:w="109"/>
        <w:gridCol w:w="233"/>
        <w:gridCol w:w="233"/>
        <w:gridCol w:w="186"/>
        <w:gridCol w:w="125"/>
        <w:gridCol w:w="125"/>
        <w:gridCol w:w="125"/>
        <w:gridCol w:w="233"/>
        <w:gridCol w:w="233"/>
        <w:gridCol w:w="126"/>
        <w:gridCol w:w="125"/>
        <w:gridCol w:w="125"/>
        <w:gridCol w:w="125"/>
        <w:gridCol w:w="233"/>
        <w:gridCol w:w="233"/>
        <w:gridCol w:w="186"/>
        <w:gridCol w:w="125"/>
        <w:gridCol w:w="125"/>
        <w:gridCol w:w="125"/>
        <w:gridCol w:w="233"/>
        <w:gridCol w:w="233"/>
        <w:gridCol w:w="177"/>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Drilled</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Completed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Drilled</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Completed</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7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Gross Wells Drilled and Completed By Zone:</w:t>
      </w:r>
    </w:p>
    <w:tbl>
      <w:tblPr>
        <w:tblW w:w="10205" w:type="dxa"/>
        <w:jc w:val="center"/>
        <w:tblInd w:w="0" w:type="dxa"/>
        <w:tblLayout w:type="fixed"/>
        <w:tblCellMar>
          <w:top w:w="28" w:type="dxa"/>
          <w:left w:w="28" w:type="dxa"/>
          <w:bottom w:w="28" w:type="dxa"/>
          <w:right w:w="28" w:type="dxa"/>
        </w:tblCellMar>
      </w:tblPr>
      <w:tblGrid>
        <w:gridCol w:w="941"/>
        <w:gridCol w:w="723"/>
        <w:gridCol w:w="729"/>
        <w:gridCol w:w="495"/>
        <w:gridCol w:w="495"/>
        <w:gridCol w:w="400"/>
        <w:gridCol w:w="216"/>
        <w:gridCol w:w="216"/>
        <w:gridCol w:w="216"/>
        <w:gridCol w:w="592"/>
        <w:gridCol w:w="549"/>
        <w:gridCol w:w="548"/>
        <w:gridCol w:w="109"/>
        <w:gridCol w:w="109"/>
        <w:gridCol w:w="109"/>
        <w:gridCol w:w="480"/>
        <w:gridCol w:w="480"/>
        <w:gridCol w:w="430"/>
        <w:gridCol w:w="200"/>
        <w:gridCol w:w="200"/>
        <w:gridCol w:w="200"/>
        <w:gridCol w:w="563"/>
        <w:gridCol w:w="495"/>
        <w:gridCol w:w="710"/>
      </w:tblGrid>
      <w:tr>
        <w:trPr/>
        <w:tc>
          <w:tcPr>
            <w:tcW w:w="94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2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Wells Drilled</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Wells Completed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Wells Drilled</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Wells Completed</w:t>
            </w:r>
          </w:p>
        </w:tc>
      </w:tr>
      <w:tr>
        <w:trPr/>
        <w:tc>
          <w:tcPr>
            <w:tcW w:w="2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Midland Basin:</w:t>
            </w:r>
          </w:p>
        </w:tc>
        <w:tc>
          <w:tcPr>
            <w:tcW w:w="1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Upper Spraberry</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Middle Spraberry</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 Mill</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Lower Spraberry</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Dean</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Wolfcamp A</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Wolfcamp B</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Wolfcamp D</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Barnett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Midland Basin Total</w:t>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5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7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2393"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2393"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2393"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2393"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2393"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2393"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2393"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Average Completed Lateral Length (in feet)</w:t>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11,983 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11,679 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Realized Average Prices:</w:t>
      </w:r>
    </w:p>
    <w:p>
      <w:pPr>
        <w:pStyle w:val="TextBody"/>
        <w:bidi w:val="0"/>
        <w:spacing w:before="0" w:after="0"/>
        <w:jc w:val="both"/>
        <w:rPr/>
      </w:pPr>
      <w:r>
        <w:rPr/>
      </w:r>
    </w:p>
    <w:tbl>
      <w:tblPr>
        <w:tblW w:w="8588" w:type="dxa"/>
        <w:jc w:val="left"/>
        <w:tblInd w:w="0" w:type="dxa"/>
        <w:tblLayout w:type="fixed"/>
        <w:tblCellMar>
          <w:top w:w="28" w:type="dxa"/>
          <w:left w:w="28" w:type="dxa"/>
          <w:bottom w:w="28" w:type="dxa"/>
          <w:right w:w="28" w:type="dxa"/>
        </w:tblCellMar>
      </w:tblPr>
      <w:tblGrid>
        <w:gridCol w:w="1239"/>
        <w:gridCol w:w="1084"/>
        <w:gridCol w:w="1096"/>
        <w:gridCol w:w="260"/>
        <w:gridCol w:w="760"/>
        <w:gridCol w:w="134"/>
        <w:gridCol w:w="109"/>
        <w:gridCol w:w="109"/>
        <w:gridCol w:w="109"/>
        <w:gridCol w:w="291"/>
        <w:gridCol w:w="849"/>
        <w:gridCol w:w="150"/>
        <w:gridCol w:w="109"/>
        <w:gridCol w:w="109"/>
        <w:gridCol w:w="109"/>
        <w:gridCol w:w="260"/>
        <w:gridCol w:w="760"/>
        <w:gridCol w:w="134"/>
        <w:gridCol w:w="109"/>
        <w:gridCol w:w="109"/>
        <w:gridCol w:w="109"/>
        <w:gridCol w:w="109"/>
        <w:gridCol w:w="109"/>
        <w:gridCol w:w="109"/>
        <w:gridCol w:w="109"/>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 per Bbl)</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96.82 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73.47 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 per Mcf)</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 per Bbl)</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 per BOE)</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Oil, hedged ($ per Bbl)</w:t>
            </w:r>
            <w:r>
              <w:rPr>
                <w:rFonts w:ascii="Times New Roman;serif" w:hAnsi="Times New Roman;serif"/>
                <w:b w:val="false"/>
                <w:color w:val="000000"/>
                <w:sz w:val="13"/>
              </w:rPr>
              <w:t>(1)</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Natural gas, hedged ($ per Mcf)</w:t>
            </w:r>
            <w:r>
              <w:rPr>
                <w:rFonts w:ascii="Times New Roman;serif" w:hAnsi="Times New Roman;serif"/>
                <w:b w:val="false"/>
                <w:color w:val="000000"/>
                <w:sz w:val="13"/>
              </w:rPr>
              <w:t>(1)</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Natural gas liquids, hedged ($ per Bbl)</w:t>
            </w:r>
            <w:r>
              <w:rPr>
                <w:rFonts w:ascii="Times New Roman;serif" w:hAnsi="Times New Roman;serif"/>
                <w:b w:val="false"/>
                <w:color w:val="000000"/>
                <w:sz w:val="13"/>
              </w:rPr>
              <w:t>(1)</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price, hedged ($ per BOE)</w:t>
            </w:r>
            <w:r>
              <w:rPr>
                <w:rFonts w:ascii="Times New Roman;serif" w:hAnsi="Times New Roman;serif"/>
                <w:b w:val="false"/>
                <w:color w:val="000000"/>
                <w:sz w:val="13"/>
              </w:rPr>
              <w:t xml:space="preserve">(1)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Average Cash Costs per BOE:</w:t>
      </w:r>
    </w:p>
    <w:p>
      <w:pPr>
        <w:pStyle w:val="TextBody"/>
        <w:bidi w:val="0"/>
        <w:spacing w:before="0" w:after="0"/>
        <w:jc w:val="both"/>
        <w:rPr/>
      </w:pPr>
      <w:r>
        <w:rPr/>
      </w:r>
    </w:p>
    <w:tbl>
      <w:tblPr>
        <w:tblW w:w="9294" w:type="dxa"/>
        <w:jc w:val="left"/>
        <w:tblInd w:w="0" w:type="dxa"/>
        <w:tblLayout w:type="fixed"/>
        <w:tblCellMar>
          <w:top w:w="28" w:type="dxa"/>
          <w:left w:w="28" w:type="dxa"/>
          <w:bottom w:w="28" w:type="dxa"/>
          <w:right w:w="28" w:type="dxa"/>
        </w:tblCellMar>
      </w:tblPr>
      <w:tblGrid>
        <w:gridCol w:w="1493"/>
        <w:gridCol w:w="1313"/>
        <w:gridCol w:w="1319"/>
        <w:gridCol w:w="260"/>
        <w:gridCol w:w="760"/>
        <w:gridCol w:w="134"/>
        <w:gridCol w:w="109"/>
        <w:gridCol w:w="109"/>
        <w:gridCol w:w="109"/>
        <w:gridCol w:w="291"/>
        <w:gridCol w:w="849"/>
        <w:gridCol w:w="150"/>
        <w:gridCol w:w="109"/>
        <w:gridCol w:w="109"/>
        <w:gridCol w:w="109"/>
        <w:gridCol w:w="260"/>
        <w:gridCol w:w="760"/>
        <w:gridCol w:w="134"/>
        <w:gridCol w:w="109"/>
        <w:gridCol w:w="109"/>
        <w:gridCol w:w="109"/>
        <w:gridCol w:w="109"/>
        <w:gridCol w:w="109"/>
        <w:gridCol w:w="109"/>
        <w:gridCol w:w="109"/>
        <w:gridCol w:w="154"/>
      </w:tblGrid>
      <w:tr>
        <w:trPr/>
        <w:tc>
          <w:tcPr>
            <w:tcW w:w="149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processing and transportation expense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cash component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 - cash</w:t>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FINANCIAL UPDATE</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Earnings Attributable to Diamondback Energy, Inc.:</w:t>
      </w:r>
    </w:p>
    <w:tbl>
      <w:tblPr>
        <w:tblW w:w="10205" w:type="dxa"/>
        <w:jc w:val="left"/>
        <w:tblInd w:w="0" w:type="dxa"/>
        <w:tblLayout w:type="fixed"/>
        <w:tblCellMar>
          <w:top w:w="28" w:type="dxa"/>
          <w:left w:w="28" w:type="dxa"/>
          <w:bottom w:w="28" w:type="dxa"/>
          <w:right w:w="28" w:type="dxa"/>
        </w:tblCellMar>
      </w:tblPr>
      <w:tblGrid>
        <w:gridCol w:w="2517"/>
        <w:gridCol w:w="2209"/>
        <w:gridCol w:w="2220"/>
        <w:gridCol w:w="674"/>
        <w:gridCol w:w="1971"/>
        <w:gridCol w:w="348"/>
        <w:gridCol w:w="109"/>
        <w:gridCol w:w="157"/>
      </w:tblGrid>
      <w:tr>
        <w:trPr/>
        <w:tc>
          <w:tcPr>
            <w:tcW w:w="2517"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w:t>
            </w:r>
          </w:p>
        </w:tc>
        <w:tc>
          <w:tcPr>
            <w:tcW w:w="266" w:type="dxa"/>
            <w:gridSpan w:val="2"/>
            <w:tcBorders/>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Diamondback Energy, Inc.</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Earnings (loss) per common share attributable to Diamondback Energy, Inc. - Diluted</w:t>
            </w:r>
            <w:r>
              <w:rPr>
                <w:rFonts w:ascii="Times New Roman;serif" w:hAnsi="Times New Roman;serif"/>
                <w:b w:val="false"/>
                <w:color w:val="000000"/>
                <w:sz w:val="13"/>
              </w:rPr>
              <w:t>(1)</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w:t>
            </w:r>
            <w:r>
              <w:rPr>
                <w:rFonts w:ascii="Times New Roman;serif" w:hAnsi="Times New Roman;serif"/>
                <w:b w:val="false"/>
                <w:color w:val="000000"/>
                <w:sz w:val="13"/>
              </w:rPr>
              <w:t>(1)</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 per common share - Diluted</w:t>
            </w:r>
            <w:r>
              <w:rPr>
                <w:rFonts w:ascii="Times New Roman;serif" w:hAnsi="Times New Roman;serif"/>
                <w:b w:val="false"/>
                <w:color w:val="000000"/>
                <w:sz w:val="13"/>
              </w:rPr>
              <w:t>(1)</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8"/>
        </w:rPr>
        <w:t>(1)</w:t>
      </w:r>
      <w:r>
        <w:rPr>
          <w:rFonts w:ascii="Times New Roman;serif" w:hAnsi="Times New Roman;serif"/>
          <w:b w:val="false"/>
          <w:color w:val="000000"/>
          <w:sz w:val="20"/>
        </w:rPr>
        <w:t>The Company’s earnings (loss) per diluted share amount has been computed using the two-class method in accordance with GAAP. The two-class method is an earnings allocation which reflects the respective ownership among holders of common stock and participating securities. Diluted earnings per share using the two-class method is calculated as (i) net income attributable to Diamondback Energy, Inc., (ii) less the reallocation of $11 million in earnings attributable to participating securities, (iii) divided by diluted weighted average common shares outstanding for the respective periods.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Cash Capital Expenditures:</w:t>
      </w:r>
    </w:p>
    <w:tbl>
      <w:tblPr>
        <w:tblW w:w="10205" w:type="dxa"/>
        <w:jc w:val="left"/>
        <w:tblInd w:w="0" w:type="dxa"/>
        <w:tblLayout w:type="fixed"/>
        <w:tblCellMar>
          <w:top w:w="28" w:type="dxa"/>
          <w:left w:w="28" w:type="dxa"/>
          <w:bottom w:w="28" w:type="dxa"/>
          <w:right w:w="28" w:type="dxa"/>
        </w:tblCellMar>
      </w:tblPr>
      <w:tblGrid>
        <w:gridCol w:w="1933"/>
        <w:gridCol w:w="1664"/>
        <w:gridCol w:w="1674"/>
        <w:gridCol w:w="259"/>
        <w:gridCol w:w="573"/>
        <w:gridCol w:w="133"/>
        <w:gridCol w:w="133"/>
        <w:gridCol w:w="133"/>
        <w:gridCol w:w="133"/>
        <w:gridCol w:w="259"/>
        <w:gridCol w:w="573"/>
        <w:gridCol w:w="133"/>
        <w:gridCol w:w="109"/>
        <w:gridCol w:w="109"/>
        <w:gridCol w:w="109"/>
        <w:gridCol w:w="213"/>
        <w:gridCol w:w="624"/>
        <w:gridCol w:w="109"/>
        <w:gridCol w:w="109"/>
        <w:gridCol w:w="109"/>
        <w:gridCol w:w="109"/>
        <w:gridCol w:w="213"/>
        <w:gridCol w:w="624"/>
        <w:gridCol w:w="168"/>
      </w:tblGrid>
      <w:tr>
        <w:trPr/>
        <w:tc>
          <w:tcPr>
            <w:tcW w:w="1933"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Operated drilling and completion additions to oil and natural gas properties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Non-operated additions to oil and natural gas properties and other</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Adjusted EBITDA and Free Cash Flow - Non-GAAP:</w:t>
      </w:r>
    </w:p>
    <w:tbl>
      <w:tblPr>
        <w:tblW w:w="10205" w:type="dxa"/>
        <w:jc w:val="left"/>
        <w:tblInd w:w="0" w:type="dxa"/>
        <w:tblLayout w:type="fixed"/>
        <w:tblCellMar>
          <w:top w:w="28" w:type="dxa"/>
          <w:left w:w="28" w:type="dxa"/>
          <w:bottom w:w="28" w:type="dxa"/>
          <w:right w:w="28" w:type="dxa"/>
        </w:tblCellMar>
      </w:tblPr>
      <w:tblGrid>
        <w:gridCol w:w="1692"/>
        <w:gridCol w:w="1485"/>
        <w:gridCol w:w="1492"/>
        <w:gridCol w:w="603"/>
        <w:gridCol w:w="1762"/>
        <w:gridCol w:w="311"/>
        <w:gridCol w:w="109"/>
        <w:gridCol w:w="109"/>
        <w:gridCol w:w="109"/>
        <w:gridCol w:w="543"/>
        <w:gridCol w:w="1589"/>
        <w:gridCol w:w="401"/>
      </w:tblGrid>
      <w:tr>
        <w:trPr/>
        <w:tc>
          <w:tcPr>
            <w:tcW w:w="1692"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4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466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5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Diamondback Energy, Inc.</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attributable to Diamondback Energy, Inc.</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6,253 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Debt &amp; Liquidity:</w:t>
      </w:r>
    </w:p>
    <w:tbl>
      <w:tblPr>
        <w:tblW w:w="5325" w:type="dxa"/>
        <w:jc w:val="left"/>
        <w:tblInd w:w="0" w:type="dxa"/>
        <w:tblLayout w:type="fixed"/>
        <w:tblCellMar>
          <w:top w:w="28" w:type="dxa"/>
          <w:left w:w="28" w:type="dxa"/>
          <w:bottom w:w="28" w:type="dxa"/>
          <w:right w:w="28" w:type="dxa"/>
        </w:tblCellMar>
      </w:tblPr>
      <w:tblGrid>
        <w:gridCol w:w="1492"/>
        <w:gridCol w:w="1315"/>
        <w:gridCol w:w="1318"/>
        <w:gridCol w:w="233"/>
        <w:gridCol w:w="797"/>
        <w:gridCol w:w="170"/>
      </w:tblGrid>
      <w:tr>
        <w:trPr/>
        <w:tc>
          <w:tcPr>
            <w:tcW w:w="1492"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Standalone cash</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outstanding under the credit facility</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Remaining availability under the credit facility</w:t>
            </w:r>
            <w:r>
              <w:rPr>
                <w:rFonts w:ascii="Times New Roman;serif" w:hAnsi="Times New Roman;serif"/>
                <w:b w:val="false"/>
                <w:color w:val="000000"/>
                <w:sz w:val="13"/>
              </w:rPr>
              <w:t>(1)</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standalone liquidity</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total debt</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total net debt</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On June 12, 2026, the Company, as parent guarantor, entered into an amendment to its credit agreement, which increased total commitments from $2.5 billion to $3.0 billion, extended the maturity date from June 12, 2030 to June 12, 2031, and reduced applicable interest rates and certain fees.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RETURN OF CAPITAL UPDATE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Diamondback announced today that the Board declared a base cash dividend of $1.10 per common share for the second quarter of 2026, payable on August 20, 2026, to stockholders of record at the close of business on August 13,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shd w:fill="FFFFFF" w:val="clear"/>
        </w:rPr>
        <w:t>Underscoring confidence in the Company's long-term outlook and commitment to shareholder returns, the Board of Directors on</w:t>
      </w:r>
      <w:r>
        <w:rPr>
          <w:color w:val="000000"/>
        </w:rPr>
        <w:t xml:space="preserve"> </w:t>
      </w:r>
      <w:r>
        <w:rPr>
          <w:rFonts w:ascii="Times New Roman;serif" w:hAnsi="Times New Roman;serif"/>
          <w:b w:val="false"/>
          <w:color w:val="000000"/>
          <w:sz w:val="24"/>
        </w:rPr>
        <w:t xml:space="preserve">July 30, 2026 doubled Diamondback's share repurchase authorization to </w:t>
      </w:r>
      <w:r>
        <w:rPr>
          <w:rFonts w:ascii="Times New Roman;serif" w:hAnsi="Times New Roman;serif"/>
          <w:b w:val="false"/>
          <w:color w:val="000000"/>
          <w:sz w:val="24"/>
          <w:shd w:fill="FFFFFF" w:val="clear"/>
        </w:rPr>
        <w:t xml:space="preserve">$16.0 billion (excluding excise tax), with approximately </w:t>
      </w:r>
      <w:r>
        <w:rPr>
          <w:rFonts w:ascii="Times New Roman;serif" w:hAnsi="Times New Roman;serif"/>
          <w:b w:val="false"/>
          <w:color w:val="000000"/>
          <w:sz w:val="24"/>
        </w:rPr>
        <w:t>$9.9 billion</w:t>
      </w:r>
      <w:r>
        <w:rPr>
          <w:color w:val="000000"/>
          <w:shd w:fill="FFFFFF" w:val="clear"/>
        </w:rPr>
        <w:t xml:space="preserve"> </w:t>
      </w:r>
      <w:r>
        <w:rPr>
          <w:rFonts w:ascii="Times New Roman;serif" w:hAnsi="Times New Roman;serif"/>
          <w:b w:val="false"/>
          <w:color w:val="000000"/>
          <w:sz w:val="24"/>
          <w:shd w:fill="FFFFFF" w:val="clear"/>
        </w:rPr>
        <w:t xml:space="preserve">remaining as of July 31, 2026. During the second quarter, the Company repurchased 756,385 shares of common stock for approximately $141 million at a weighted average price of $186.63 per share (excluding excise tax). The Company expects to continue repurchases opportunistically using cash on hand, free cash flow and potential asset sale proceeds. The program has no time limit and may be suspended, modified or discontinued at the Board’s discretion. Repurchases may be executed in privately negotiated or open-market transactions, consistent with Rule 10b-18 </w:t>
      </w:r>
      <w:r>
        <w:rPr>
          <w:rFonts w:ascii="Times New Roman;serif" w:hAnsi="Times New Roman;serif"/>
          <w:b w:val="false"/>
          <w:color w:val="000000"/>
          <w:sz w:val="24"/>
        </w:rPr>
        <w:t>under the Securities Exchange Act of 1934, as amended, and will be subject to market conditions, applicable regulatory and legal requirements and other factors</w:t>
      </w:r>
      <w:r>
        <w:rPr>
          <w:rFonts w:ascii="Times New Roman;serif" w:hAnsi="Times New Roman;serif"/>
          <w:b w:val="false"/>
          <w:color w:val="000000"/>
          <w:sz w:val="24"/>
          <w:shd w:fill="FFFFFF" w:val="clear"/>
        </w:rPr>
        <w:t>. All shares repurchased will be retired.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table below summarizes Diamondback’s return of capital program, including dividends and share repurchases, with future actions subject to Board approval.</w:t>
      </w:r>
    </w:p>
    <w:p>
      <w:pPr>
        <w:pStyle w:val="TextBody"/>
        <w:bidi w:val="0"/>
        <w:spacing w:before="0" w:after="0"/>
        <w:jc w:val="both"/>
        <w:rPr/>
      </w:pPr>
      <w:r>
        <w:rPr/>
      </w:r>
    </w:p>
    <w:tbl>
      <w:tblPr>
        <w:tblW w:w="7701" w:type="dxa"/>
        <w:jc w:val="left"/>
        <w:tblInd w:w="0" w:type="dxa"/>
        <w:tblLayout w:type="fixed"/>
        <w:tblCellMar>
          <w:top w:w="28" w:type="dxa"/>
          <w:left w:w="28" w:type="dxa"/>
          <w:bottom w:w="28" w:type="dxa"/>
          <w:right w:w="28" w:type="dxa"/>
        </w:tblCellMar>
      </w:tblPr>
      <w:tblGrid>
        <w:gridCol w:w="1070"/>
        <w:gridCol w:w="939"/>
        <w:gridCol w:w="946"/>
        <w:gridCol w:w="245"/>
        <w:gridCol w:w="839"/>
        <w:gridCol w:w="126"/>
        <w:gridCol w:w="126"/>
        <w:gridCol w:w="126"/>
        <w:gridCol w:w="126"/>
        <w:gridCol w:w="307"/>
        <w:gridCol w:w="1052"/>
        <w:gridCol w:w="158"/>
        <w:gridCol w:w="126"/>
        <w:gridCol w:w="126"/>
        <w:gridCol w:w="126"/>
        <w:gridCol w:w="245"/>
        <w:gridCol w:w="839"/>
        <w:gridCol w:w="179"/>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Q2 2026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Q3 2026 to date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Cumulative</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 shares in thousands)</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dividend</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repurchased</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42,992 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repurchase price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repurchase cost</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return of capital</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UPDATED 2026 GUIDANCE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Below is Diamondback's and Viper Energy, Inc.'s (“Viper”) updated guidance for the full year 2026, which includes third quarter</w:t>
      </w:r>
      <w:r>
        <w:rPr>
          <w:color w:val="000000"/>
        </w:rPr>
        <w:t xml:space="preserve"> </w:t>
      </w:r>
      <w:r>
        <w:rPr>
          <w:rFonts w:ascii="Times New Roman;serif" w:hAnsi="Times New Roman;serif"/>
          <w:b w:val="false"/>
          <w:color w:val="000000"/>
          <w:sz w:val="24"/>
        </w:rPr>
        <w:t>production and capital guidance.</w:t>
      </w:r>
    </w:p>
    <w:p>
      <w:pPr>
        <w:pStyle w:val="TextBody"/>
        <w:bidi w:val="0"/>
        <w:spacing w:before="0" w:after="0"/>
        <w:jc w:val="both"/>
        <w:rPr/>
      </w:pPr>
      <w:r>
        <w:rPr/>
      </w:r>
    </w:p>
    <w:tbl>
      <w:tblPr>
        <w:tblW w:w="9585" w:type="dxa"/>
        <w:jc w:val="center"/>
        <w:tblInd w:w="0" w:type="dxa"/>
        <w:tblLayout w:type="fixed"/>
        <w:tblCellMar>
          <w:top w:w="28" w:type="dxa"/>
          <w:left w:w="28" w:type="dxa"/>
          <w:bottom w:w="28" w:type="dxa"/>
          <w:right w:w="28" w:type="dxa"/>
        </w:tblCellMar>
      </w:tblPr>
      <w:tblGrid>
        <w:gridCol w:w="1544"/>
        <w:gridCol w:w="1356"/>
        <w:gridCol w:w="1360"/>
        <w:gridCol w:w="1019"/>
        <w:gridCol w:w="1019"/>
        <w:gridCol w:w="1022"/>
        <w:gridCol w:w="662"/>
        <w:gridCol w:w="662"/>
        <w:gridCol w:w="941"/>
      </w:tblGrid>
      <w:tr>
        <w:trPr/>
        <w:tc>
          <w:tcPr>
            <w:tcW w:w="154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Guidance</w:t>
            </w:r>
          </w:p>
        </w:tc>
        <w:tc>
          <w:tcPr>
            <w:tcW w:w="22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2026 Guidance</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Diamondback Energy, Inc.</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Viper Energy, Inc.</w:t>
            </w:r>
          </w:p>
        </w:tc>
      </w:tr>
      <w:tr>
        <w:trPr/>
        <w:tc>
          <w:tcPr>
            <w:tcW w:w="4260" w:type="dxa"/>
            <w:gridSpan w:val="3"/>
            <w:tcBorders>
              <w:top w:val="dott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dotted"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dott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Net production - MBOE/d</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1,000+ </w:t>
            </w:r>
            <w:r>
              <w:rPr>
                <w:rFonts w:ascii="Times New Roman;serif" w:hAnsi="Times New Roman;serif"/>
                <w:b w:val="false"/>
                <w:i/>
                <w:color w:val="000000"/>
                <w:sz w:val="14"/>
              </w:rPr>
              <w:t>(</w:t>
            </w:r>
            <w:r>
              <w:rPr>
                <w:rFonts w:ascii="Times New Roman;serif" w:hAnsi="Times New Roman;serif"/>
                <w:b w:val="false"/>
                <w:i/>
                <w:color w:val="000000"/>
                <w:sz w:val="16"/>
              </w:rPr>
              <w:t>from 972+)</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132.5 - 135.0</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Oil production - MBO/d</w:t>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522+ </w:t>
            </w:r>
            <w:r>
              <w:rPr>
                <w:rFonts w:ascii="Times New Roman;serif" w:hAnsi="Times New Roman;serif"/>
                <w:b w:val="false"/>
                <w:i/>
                <w:color w:val="000000"/>
                <w:sz w:val="16"/>
              </w:rPr>
              <w:t>(from 520+)</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66.0 - 67.25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Q3 2026 Oil production - MBO/d (total - MBOE/d)</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517 - 527 (995 - 1,015)</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67.5 - 68.5 (133.5 - 135.5)</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Unit costs ($/BOE)</w:t>
            </w:r>
          </w:p>
        </w:tc>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 including workovers</w:t>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$5.90 - $6.40</w:t>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G&amp;A</w:t>
            </w:r>
          </w:p>
        </w:tc>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G&amp;A</w:t>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$0.55 - $0.65 </w:t>
            </w:r>
            <w:r>
              <w:rPr>
                <w:rFonts w:ascii="Times New Roman;serif" w:hAnsi="Times New Roman;serif"/>
                <w:b w:val="false"/>
                <w:i/>
                <w:color w:val="000000"/>
                <w:sz w:val="16"/>
              </w:rPr>
              <w:t>(from $0.55 - $0.70)</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$0.70 - $0.90</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equity-based compensation</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$0.20 - $0.30</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$0.10 - $0.20</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DD&amp;A</w:t>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$13.50 - $14.50 </w:t>
            </w:r>
            <w:r>
              <w:rPr>
                <w:rFonts w:ascii="Times New Roman;serif" w:hAnsi="Times New Roman;serif"/>
                <w:b w:val="false"/>
                <w:i/>
                <w:color w:val="000000"/>
                <w:sz w:val="16"/>
              </w:rPr>
              <w:t>(from $14.00 - $15.00)</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$14.75 - $17.25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$0.50 - $0.70</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$1.90 - $2.40</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Gathering, processing and transportation</w:t>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$1.40 - $1.60 </w:t>
            </w:r>
            <w:r>
              <w:rPr>
                <w:rFonts w:ascii="Times New Roman;serif" w:hAnsi="Times New Roman;serif"/>
                <w:b w:val="false"/>
                <w:i/>
                <w:color w:val="000000"/>
                <w:sz w:val="16"/>
              </w:rPr>
              <w:t>(from $1.50 - $1.70)</w:t>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 (% of revenue)</w:t>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tax rate (% of pre-tax income)</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tax rate (% of pre-tax income)</w:t>
            </w:r>
            <w:r>
              <w:rPr>
                <w:rFonts w:ascii="Times New Roman;serif" w:hAnsi="Times New Roman;serif"/>
                <w:b w:val="false"/>
                <w:color w:val="000000"/>
                <w:sz w:val="13"/>
              </w:rPr>
              <w:t>(1)</w:t>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19% - 22% </w:t>
            </w:r>
            <w:r>
              <w:rPr>
                <w:rFonts w:ascii="Times New Roman;serif" w:hAnsi="Times New Roman;serif"/>
                <w:b w:val="false"/>
                <w:i/>
                <w:color w:val="000000"/>
                <w:sz w:val="16"/>
              </w:rPr>
              <w:t>(from 18% - 21%)</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27% - 30%</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Q3 2026 Cash taxes ($ - million)</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$400 - $460</w:t>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Cash Capital Budget ($ - million)</w:t>
            </w:r>
          </w:p>
        </w:tc>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Operated drilling and completion</w:t>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~$3,310</w:t>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2026 Total capital expenditures</w:t>
            </w:r>
            <w:r>
              <w:rPr>
                <w:rFonts w:ascii="Times New Roman;serif" w:hAnsi="Times New Roman;serif"/>
                <w:b w:val="false"/>
                <w:color w:val="000000"/>
                <w:sz w:val="13"/>
              </w:rPr>
              <w:t>(2)</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~$3,900</w:t>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Q3 2026 Capital expenditures</w:t>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$950 - $1,050</w:t>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Average lateral length (Ft.)</w:t>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~12,900'</w:t>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lateral footage completed (1,000's of Ft.)</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6,100' - 6,500'</w:t>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(1)Pre-tax income attributable to the Company is a non-GAAP measure. We are not able to forecast the most directly comparable GAAP measure - Income (loss) before income taxes - due to high variability and difficulty in predicting certain items that affect Income (loss) before income taxes, such as future commodity prices, pace of and costs of developing, producing and operating our interests in oil and natural gas properties, future changes in interest rates and various other business factors impacting our financial results.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(2)Includes non-operated drilling and completion, capital workovers, science, infrastructure, midstream and environmental.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CONFERENCE CALL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Diamondback will host a conference call and webcast for investors and analysts to discuss its results for the second quarter of 2026 on Tuesday, August 4, 2026 at 8:00 a.m. CT. Access to the webcast, and replay which will be available following the call, may be found here. The live webcast of the earnings conference call will also be available via Diamondback’s website at www.diamondbackenergy.com under the “Investor Relations” section of the site. Investors and others should note that Diamondback announces material financial and operational information to our investors using our investor relations website, press releases, SEC filings and public conference calls and webcasts. The information we post through our investor relations website may be deemed material. Accordingly, investors should monitor our investor relations website in addition to following our press releases, SEC filings and public conference calls and webcasts.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About Diamondback Energy,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Diamondback is an independent oil and natural gas company headquartered in Midland, Texas focused on the acquisition, development, exploration and exploitation of unconventional, onshore oil and natural gas reserves primarily in the Permian Basin in West Texas. For more information, please visit www.diamondbackenergy.com.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Forward-Looking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This news release contains “forward-looking statements” within the meaning of Section 27A of the Securities Act and Section 21E of the Exchange Act, which involve risks, uncertainties, and assumptions. All statements, other than statements of historical fact, including statements regarding Diamondback’s: future performance; business strategy; future operations (including drilling plans and capital plans); estimates and projections of revenues, losses, costs, expenses, returns, cash flow, and financial position; reserve estimates and its ability to replace or increase reserves; anticipated benefits or other effects of strategic transactions (including the Double Eagle acquisition, and the Sitio acquisition completed by Viper and other acquisitions, divestitures or reorganizations); and plans and objectives of management (including plans for future cash flow from operations and for executing environmental strategies) are forward-looking statements. When used in this news release, the words “aim,” “anticipate,” “believe,” “continue,” “could,” “estimate,” “expect,” “forecast,” “future,” “guidance,” “intend,” “may,” “model,” “outlook,” “plan,” “positioned,” “potential,” “predict,” “project,” “seek,” “should,” “target,” “will,” “would,” and similar expressions (including the negative of such terms)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Accordingly, forward-looking statements are not guarantees of future performance and Diamondback’s actual outcomes could differ materially from what Diamondback has expressed in its forward-looking statements.</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 xml:space="preserve">Factors that could cause the outcomes to differ materially include (but are not limited to) the following: geopolitics and market conditions, including changes in supply and demand levels for oil, natural gas, and natural gas liquids, and the resulting impact on the price for those commodities; changes in U.S. energy, environmental, monetary and trade policies, including with respect to tariffs or other trade barriers and any resulting trade tensions; actions taken by the members of OPEC and its non-OPEC allies (OPEC+) affecting the production and pricing of oil, as well as other domestic and global political, economic, or diplomatic developments; changes in general economic, business or industry conditions, including changes in foreign currency exchange rates, interest rates, inflation rates, and instability in the financial markets; regional supply and demand factors, including delays, curtailment delays or interruptions of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production, or governmental orders, rules or regulations that impose production limits; federal and state legislative and regulatory initiatives relating to hydraulic fracturing, including the effect of existing and future laws and governmental regulations; physical and transition risks relating to climate change, changing political and social perspectives on climate change and other environmental, social and governance factors, and risks from our publicly disclosed targets related to sustainability and emissions reduction initiatives; challenges in developing our existing leasehold acreage and finding, developing or acquiring additional reserves; restrictions on the use of water, including limits on the use of produced water and a moratorium on new produced water disposal well permits recently imposed by the Texas Railroad Commission in an effort to control induced seismicity in the Permian Basin; significant declines in prices for oil, natural gas, or natural gas liquids, which could require recognition of significant impairment charges; conditions in the capital, financial and credit markets, including the availability and pricing of capital for acquisitions, exploration and development operations; challenges with employee retention and an increasingly competitive labor market; changes in availability or cost of rigs, equipment, raw materials, supplies and oilfield services; changes in safety, health, environmental, tax and other regulations or requirements (including those addressing air emissions, water management, or the impact of global climate change); security threats, including cybersecurity threats and disruptions to our business and operations from breaches of our information technology systems, or from breaches of information technology systems of third parties with whom we transact business; lack of, or disruption in, access to adequate and reliable electrical power, internet and telecommunication infrastructure, information and computer systems, transportation, processing, storage and other facilities for our oil, natural gas and natural gas liquids; failures or delays in achieving expected reserve or production levels from existing and future oil and natural gas developments, including due to operating hazards, drilling risks, or the inherent uncertainties in predicting reserve and reservoir performance; inability to keep pace with technological developments in our industry; failure to meet our obligations under our oil purchase contracts; loss of one or more customers or their inability to meet their obligations; geographical concentration of our primary operations; risks from our return of capital commitment, and uncertainties over our future dividends and share repurchases; difficulty in obtaining necessary approvals and permits; severe weather conditions and natural disasters; changes in the financial strength of counterparties to our credit facilities and hedging contracts; our substantial indebtedness and restrictions to our operating and financial flexibility; changes in our credit rating; failure to identify, complete and successfully integrate acquisitions, including Viper’s Riverbend acquisition, the Double Eagle acquisition and Viper’s Sitio acquisition; the Endeavor stockholders’ ability to significantly influence our business and potential conflicts of interest; and other risks described in Part I, Item 1A of Diamondback’s Annual Report on Form 10-K, filed with the SEC on February 25, 2026, and those risks disclosed in its subsequent filings on Forms 10-K, 10-Q and 8-K, which can be obtained free of charge on the SEC’s website at http://www.sec.gov and Diamondback’s website at www.diamondbackenergy.com/investors.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In light of these factors, the events anticipated by Diamondback’s forward-looking statements may not occur at the time anticipated or at all. Moreover, Diamondback operates in a very competitive and rapidly changing environment and new risks emerge from time to time. Diamondback cannot predict all risks, nor 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All forward-looking statements speak only as of the date of this release or, if earlier, as of the date they were made. Diamondback does not intend to, and disclaims any obligation to, update or revise any forward-looking statements unless required by applicable law.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240" w:type="dxa"/>
        <w:jc w:val="left"/>
        <w:tblInd w:w="0" w:type="dxa"/>
        <w:tblLayout w:type="fixed"/>
        <w:tblCellMar>
          <w:top w:w="28" w:type="dxa"/>
          <w:left w:w="28" w:type="dxa"/>
          <w:bottom w:w="28" w:type="dxa"/>
          <w:right w:w="28" w:type="dxa"/>
        </w:tblCellMar>
      </w:tblPr>
      <w:tblGrid>
        <w:gridCol w:w="1604"/>
        <w:gridCol w:w="1413"/>
        <w:gridCol w:w="1422"/>
        <w:gridCol w:w="216"/>
        <w:gridCol w:w="616"/>
        <w:gridCol w:w="120"/>
        <w:gridCol w:w="120"/>
        <w:gridCol w:w="120"/>
        <w:gridCol w:w="120"/>
        <w:gridCol w:w="216"/>
        <w:gridCol w:w="616"/>
        <w:gridCol w:w="120"/>
        <w:gridCol w:w="114"/>
        <w:gridCol w:w="114"/>
        <w:gridCol w:w="114"/>
        <w:gridCol w:w="205"/>
        <w:gridCol w:w="584"/>
        <w:gridCol w:w="114"/>
        <w:gridCol w:w="114"/>
        <w:gridCol w:w="114"/>
        <w:gridCol w:w="114"/>
        <w:gridCol w:w="205"/>
        <w:gridCol w:w="584"/>
        <w:gridCol w:w="161"/>
      </w:tblGrid>
      <w:tr>
        <w:trPr/>
        <w:tc>
          <w:tcPr>
            <w:tcW w:w="1604"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24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Diamondback Energy, Inc.</w:t>
            </w:r>
          </w:p>
        </w:tc>
      </w:tr>
      <w:tr>
        <w:trPr/>
        <w:tc>
          <w:tcPr>
            <w:tcW w:w="924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Condensed Consolidated Statements of Operations</w:t>
            </w:r>
          </w:p>
        </w:tc>
      </w:tr>
      <w:tr>
        <w:trPr/>
        <w:tc>
          <w:tcPr>
            <w:tcW w:w="924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(unaudited, $ in millions except per share data, shares in thousands)</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June 30,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Revenues:</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Oil, natural gas and natural gas liquid sales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purchased oil</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income</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Costs and expenses:</w:t>
            </w:r>
          </w:p>
        </w:tc>
        <w:tc>
          <w:tcPr>
            <w:tcW w:w="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operating expenses</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and ad valorem taxes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Gathering, processing and transportation</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oil expense</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depletion, amortization and accretion</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oil and natural gas properties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 net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Income (loss) from operations</w:t>
            </w:r>
          </w:p>
        </w:tc>
        <w:tc>
          <w:tcPr>
            <w:tcW w:w="8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income (expense):</w:t>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derivative instruments, net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extinguishment of debt, net</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8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Income (loss) before income taxes</w:t>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 xml:space="preserve">Net income (loss) </w:t>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income (loss) attributable to Diamondback Energy, Inc.</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Earnings (loss) per common share:</w:t>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Weighted average common shares outstanding:</w:t>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281,202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292,135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281,993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290,880</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281,202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292,135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281,993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290,880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854"/>
        <w:gridCol w:w="2339"/>
        <w:gridCol w:w="2335"/>
        <w:gridCol w:w="230"/>
        <w:gridCol w:w="761"/>
        <w:gridCol w:w="127"/>
        <w:gridCol w:w="127"/>
        <w:gridCol w:w="127"/>
        <w:gridCol w:w="127"/>
        <w:gridCol w:w="230"/>
        <w:gridCol w:w="761"/>
        <w:gridCol w:w="187"/>
      </w:tblGrid>
      <w:tr>
        <w:trPr/>
        <w:tc>
          <w:tcPr>
            <w:tcW w:w="2854"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Diamondback Energy,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(unaudited, in millions, except share amounts)</w:t>
            </w:r>
          </w:p>
        </w:tc>
      </w:tr>
      <w:tr>
        <w:trPr/>
        <w:tc>
          <w:tcPr>
            <w:tcW w:w="7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w:t>
            </w:r>
          </w:p>
        </w:tc>
      </w:tr>
      <w:tr>
        <w:trPr/>
        <w:tc>
          <w:tcPr>
            <w:tcW w:w="7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Assets</w:t>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($77 million and $13 million related to Viper)</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Joint interest and other, net</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Oil and natural gas sales, net ($461 million and $262 million related to Viper)</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w:t>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Oil and natural gas properties:</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Proved properties ($9,608 million and $9,746 million related to Viper)</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71,588 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Unproved properties ($4,545 million and $4,910 million related to Viper)</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property, equipment and land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depletion, depreciation, amortization and impairment ($2,856 million and $2,455 million related to Viper)</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(31,705)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66,772 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68,621 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528"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528"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528"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528"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528"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70,218 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71,059 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Liabilities and Stockholders’ Equity</w:t>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capital expenditures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debt</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and royalties payable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5,678 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4,600 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debt ($1,678 million and $2,186 million related to Viper)</w:t>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11,066 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13,726 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528"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26,233 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28,092 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800,000,000 shares authorized; 280,567,508 and 284,594,908 shares issued and outstanding at June 30, 2026, and December 31, 2025, respectively</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32,236 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 (accumulated deficit)</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Diamondback Energy, Inc. stockholders’ equity</w:t>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37,900 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36,972 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43,985 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42,967 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70,218 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71,059 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88"/>
        <w:gridCol w:w="1741"/>
        <w:gridCol w:w="1756"/>
        <w:gridCol w:w="223"/>
        <w:gridCol w:w="634"/>
        <w:gridCol w:w="124"/>
        <w:gridCol w:w="124"/>
        <w:gridCol w:w="124"/>
        <w:gridCol w:w="124"/>
        <w:gridCol w:w="223"/>
        <w:gridCol w:w="480"/>
        <w:gridCol w:w="124"/>
        <w:gridCol w:w="109"/>
        <w:gridCol w:w="109"/>
        <w:gridCol w:w="109"/>
        <w:gridCol w:w="197"/>
        <w:gridCol w:w="559"/>
        <w:gridCol w:w="109"/>
        <w:gridCol w:w="109"/>
        <w:gridCol w:w="109"/>
        <w:gridCol w:w="109"/>
        <w:gridCol w:w="197"/>
        <w:gridCol w:w="559"/>
        <w:gridCol w:w="165"/>
      </w:tblGrid>
      <w:tr>
        <w:trPr/>
        <w:tc>
          <w:tcPr>
            <w:tcW w:w="2088"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Diamondback Energy,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Condensed Consolidated Statements of Cash Flows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(unaudited, in millions)</w:t>
            </w:r>
          </w:p>
        </w:tc>
      </w:tr>
      <w:tr>
        <w:trPr/>
        <w:tc>
          <w:tcPr>
            <w:tcW w:w="5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5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(loss) </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(used in) operating activities:</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deferred income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depletion, amortization and accretion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oil and natural gas properties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extinguishment of debt,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derivative instruments,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(paid) on settlement of derivative instruments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and royalties payable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4,032 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oil and natural gas properties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acquisitions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(3,979)</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(5,632)</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debt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Repurchased shares under repurchase program</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Repurchased shares - related party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Repurchased shares/units under Viper’s repurchase program</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Viper’s issuance of common stock</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Viper's common stock</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to stockholders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to non-controlling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474" w:type="dxa"/>
        <w:jc w:val="left"/>
        <w:tblInd w:w="0" w:type="dxa"/>
        <w:tblLayout w:type="fixed"/>
        <w:tblCellMar>
          <w:top w:w="28" w:type="dxa"/>
          <w:left w:w="28" w:type="dxa"/>
          <w:bottom w:w="28" w:type="dxa"/>
          <w:right w:w="28" w:type="dxa"/>
        </w:tblCellMar>
      </w:tblPr>
      <w:tblGrid>
        <w:gridCol w:w="1556"/>
        <w:gridCol w:w="1370"/>
        <w:gridCol w:w="1379"/>
        <w:gridCol w:w="260"/>
        <w:gridCol w:w="760"/>
        <w:gridCol w:w="134"/>
        <w:gridCol w:w="109"/>
        <w:gridCol w:w="109"/>
        <w:gridCol w:w="109"/>
        <w:gridCol w:w="291"/>
        <w:gridCol w:w="849"/>
        <w:gridCol w:w="150"/>
        <w:gridCol w:w="109"/>
        <w:gridCol w:w="109"/>
        <w:gridCol w:w="109"/>
        <w:gridCol w:w="260"/>
        <w:gridCol w:w="760"/>
        <w:gridCol w:w="134"/>
        <w:gridCol w:w="109"/>
        <w:gridCol w:w="109"/>
        <w:gridCol w:w="109"/>
        <w:gridCol w:w="109"/>
        <w:gridCol w:w="109"/>
        <w:gridCol w:w="109"/>
        <w:gridCol w:w="109"/>
        <w:gridCol w:w="154"/>
      </w:tblGrid>
      <w:tr>
        <w:trPr/>
        <w:tc>
          <w:tcPr>
            <w:tcW w:w="155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5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Diamondback Energy, Inc.</w:t>
            </w:r>
          </w:p>
        </w:tc>
        <w:tc>
          <w:tcPr>
            <w:tcW w:w="917" w:type="dxa"/>
            <w:gridSpan w:val="8"/>
            <w:tcBorders/>
          </w:tcPr>
          <w:p>
            <w:pPr>
              <w:pStyle w:val="TableContents"/>
              <w:bidi w:val="0"/>
              <w:spacing w:before="0" w:after="283"/>
              <w:jc w:val="left"/>
              <w:rPr>
                <w:sz w:val="4"/>
                <w:szCs w:val="4"/>
              </w:rPr>
            </w:pPr>
            <w:r>
              <w:rPr>
                <w:sz w:val="4"/>
                <w:szCs w:val="4"/>
              </w:rPr>
            </w:r>
          </w:p>
        </w:tc>
      </w:tr>
      <w:tr>
        <w:trPr/>
        <w:tc>
          <w:tcPr>
            <w:tcW w:w="855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Selected Operating Data</w:t>
            </w:r>
          </w:p>
        </w:tc>
        <w:tc>
          <w:tcPr>
            <w:tcW w:w="917" w:type="dxa"/>
            <w:gridSpan w:val="8"/>
            <w:tcBorders/>
          </w:tcPr>
          <w:p>
            <w:pPr>
              <w:pStyle w:val="TableContents"/>
              <w:bidi w:val="0"/>
              <w:spacing w:before="0" w:after="283"/>
              <w:jc w:val="left"/>
              <w:rPr>
                <w:sz w:val="4"/>
                <w:szCs w:val="4"/>
              </w:rPr>
            </w:pPr>
            <w:r>
              <w:rPr>
                <w:sz w:val="4"/>
                <w:szCs w:val="4"/>
              </w:rPr>
            </w:r>
          </w:p>
        </w:tc>
      </w:tr>
      <w:tr>
        <w:trPr/>
        <w:tc>
          <w:tcPr>
            <w:tcW w:w="855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917" w:type="dxa"/>
            <w:gridSpan w:val="8"/>
            <w:tcBorders/>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Combined volumes</w:t>
            </w:r>
            <w:r>
              <w:rPr>
                <w:color w:val="000000"/>
              </w:rPr>
              <w:t xml:space="preserve"> </w:t>
            </w:r>
            <w:r>
              <w:rPr>
                <w:rFonts w:ascii="Times New Roman;serif" w:hAnsi="Times New Roman;serif"/>
                <w:b w:val="false"/>
                <w:color w:val="000000"/>
                <w:sz w:val="20"/>
              </w:rPr>
              <w:t>(MBOE)</w:t>
            </w:r>
            <w:r>
              <w:rPr>
                <w:rFonts w:ascii="Times New Roman;serif" w:hAnsi="Times New Roman;serif"/>
                <w:b w:val="false"/>
                <w:color w:val="000000"/>
                <w:sz w:val="13"/>
              </w:rPr>
              <w:t>(1)</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92,607 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88,142 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Daily oil volumes (BO/d)</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520,989 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495,692 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Daily combined volumes (BOE/d)</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1,017,659 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979,356 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919,879 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Prices: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 per Bbl)</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 per Mcf)</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 per Bbl)</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 per BOE)</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Oil, hedged ($ per Bbl)</w:t>
            </w:r>
            <w:r>
              <w:rPr>
                <w:rFonts w:ascii="Times New Roman;serif" w:hAnsi="Times New Roman;serif"/>
                <w:b w:val="false"/>
                <w:color w:val="000000"/>
                <w:sz w:val="13"/>
              </w:rPr>
              <w:t xml:space="preserve">(2)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Natural gas, hedged ($ per Mcf)</w:t>
            </w:r>
            <w:r>
              <w:rPr>
                <w:rFonts w:ascii="Times New Roman;serif" w:hAnsi="Times New Roman;serif"/>
                <w:b w:val="false"/>
                <w:color w:val="000000"/>
                <w:sz w:val="13"/>
              </w:rPr>
              <w:t>(2)</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Natural gas liquids, hedged ($ per Bbl)</w:t>
            </w:r>
            <w:r>
              <w:rPr>
                <w:rFonts w:ascii="Times New Roman;serif" w:hAnsi="Times New Roman;serif"/>
                <w:b w:val="false"/>
                <w:color w:val="000000"/>
                <w:sz w:val="13"/>
              </w:rPr>
              <w:t>(2)</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price, hedged ($ per BOE)</w:t>
            </w:r>
            <w:r>
              <w:rPr>
                <w:rFonts w:ascii="Times New Roman;serif" w:hAnsi="Times New Roman;serif"/>
                <w:b w:val="false"/>
                <w:color w:val="000000"/>
                <w:sz w:val="13"/>
              </w:rPr>
              <w:t xml:space="preserve">(2)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Cash Costs ($/BOE):</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processing and transportation expense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cash component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 - cash</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non-cash component</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(1)Bbl equivalents are calculated using a conversion rate of six Mcf per one Bbl.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NON-GAAP FINANCIAL MEASURES</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color w:val="000000"/>
          <w:sz w:val="24"/>
          <w:u w:val="single"/>
        </w:rPr>
      </w:pPr>
      <w:r>
        <w:rPr>
          <w:rFonts w:ascii="Times New Roman;serif" w:hAnsi="Times New Roman;serif"/>
          <w:b/>
          <w:color w:val="000000"/>
          <w:sz w:val="24"/>
          <w:u w:val="single"/>
        </w:rPr>
        <w:t>ADJUSTED EBITDA</w:t>
      </w:r>
    </w:p>
    <w:p>
      <w:pPr>
        <w:pStyle w:val="TextBody"/>
        <w:bidi w:val="0"/>
        <w:spacing w:before="0" w:after="0"/>
        <w:ind w:left="0" w:right="0" w:hanging="27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Adjusted EBITDA is a supplemental non-GAAP financial measure that is used by management and external users of our financial statements, such as industry analysts, investors, lenders and rating agencies. The Company defines Adjusted EBITDA as net income (loss) attributable to Diamondback Energy, Inc., plus net income (loss) attributable to non-controlling interest ("net income (loss)") before non-cash (gain) loss on derivative instruments, net, interest expense, net, depreciation, depletion, amortization and accretion, depreciation and interest expense related to equity method investments, (gain) loss on extinguishment of debt, impairment of oil and natural gas properties, non-cash equity-based compensation expense, capitalized equity-based compensation expense, other non-cash transactions and provision for (benefit from) income taxes. Adjusted EBITDA is not a measure of net income as determined by United States generally accepted accounting principles ("GAAP"). Management believes Adjusted EBITDA is useful because the measure allows it to evaluate the Company’s operating performance and compare the results of its operations from period to period without regard to its financing methods or capital structure. The Company excludes the items listed above from net income (loss) to determine Adjusted EBITDA because these amounts can vary substantially from company to company within its industry depending upon accounting methods and book values of assets, capital structures and the method by which the assets were acquired. Further, the Company excludes the effects of significant transactions that may affect earnings but are unpredictable in nature, timing and amount, although they may recur in different reporting periods. Adjusted EBITDA should not be considered as an alternative to, or more meaningful than, net income as determined in accordance with GAAP or as an indicator of the Company’s operating performance. Certain items excluded from Adjusted EBITDA are significant components in understanding and assessing a company’s financial performance, such as a company’s cost of capital and tax structure, as well as the historic costs of depreciable assets. The Company’s computation of Adjusted EBITDA may not be comparable to other similarly titled measures of other companies or to such measure in our credit facility or any of our other contracts.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tables present a reconciliation of the GAAP financial measure of net income (loss) attributable to Diamondback Energy, Inc. to the non-GAAP financial measure of Adjusted EBITDA:</w:t>
      </w:r>
    </w:p>
    <w:tbl>
      <w:tblPr>
        <w:tblW w:w="10205" w:type="dxa"/>
        <w:jc w:val="left"/>
        <w:tblInd w:w="0" w:type="dxa"/>
        <w:tblLayout w:type="fixed"/>
        <w:tblCellMar>
          <w:top w:w="28" w:type="dxa"/>
          <w:left w:w="28" w:type="dxa"/>
          <w:bottom w:w="28" w:type="dxa"/>
          <w:right w:w="28" w:type="dxa"/>
        </w:tblCellMar>
      </w:tblPr>
      <w:tblGrid>
        <w:gridCol w:w="1588"/>
        <w:gridCol w:w="1053"/>
        <w:gridCol w:w="1053"/>
        <w:gridCol w:w="473"/>
        <w:gridCol w:w="473"/>
        <w:gridCol w:w="474"/>
        <w:gridCol w:w="109"/>
        <w:gridCol w:w="109"/>
        <w:gridCol w:w="109"/>
        <w:gridCol w:w="429"/>
        <w:gridCol w:w="1254"/>
        <w:gridCol w:w="221"/>
        <w:gridCol w:w="109"/>
        <w:gridCol w:w="109"/>
        <w:gridCol w:w="109"/>
        <w:gridCol w:w="109"/>
        <w:gridCol w:w="109"/>
        <w:gridCol w:w="405"/>
        <w:gridCol w:w="1184"/>
        <w:gridCol w:w="209"/>
        <w:gridCol w:w="109"/>
        <w:gridCol w:w="408"/>
      </w:tblGrid>
      <w:tr>
        <w:trPr/>
        <w:tc>
          <w:tcPr>
            <w:tcW w:w="158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51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Diamondback Energy, Inc.</w:t>
            </w:r>
          </w:p>
        </w:tc>
        <w:tc>
          <w:tcPr>
            <w:tcW w:w="5091" w:type="dxa"/>
            <w:gridSpan w:val="16"/>
            <w:tcBorders/>
          </w:tcPr>
          <w:p>
            <w:pPr>
              <w:pStyle w:val="TableContents"/>
              <w:bidi w:val="0"/>
              <w:spacing w:before="0" w:after="283"/>
              <w:jc w:val="left"/>
              <w:rPr>
                <w:sz w:val="4"/>
                <w:szCs w:val="4"/>
              </w:rPr>
            </w:pPr>
            <w:r>
              <w:rPr>
                <w:sz w:val="4"/>
                <w:szCs w:val="4"/>
              </w:rPr>
            </w:r>
          </w:p>
        </w:tc>
      </w:tr>
      <w:tr>
        <w:trPr/>
        <w:tc>
          <w:tcPr>
            <w:tcW w:w="51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Reconciliation of Net Income (Loss) to Adjusted EBITDA</w:t>
            </w:r>
          </w:p>
        </w:tc>
        <w:tc>
          <w:tcPr>
            <w:tcW w:w="5091" w:type="dxa"/>
            <w:gridSpan w:val="16"/>
            <w:tcBorders/>
          </w:tcPr>
          <w:p>
            <w:pPr>
              <w:pStyle w:val="TableContents"/>
              <w:bidi w:val="0"/>
              <w:spacing w:before="0" w:after="283"/>
              <w:jc w:val="left"/>
              <w:rPr>
                <w:sz w:val="4"/>
                <w:szCs w:val="4"/>
              </w:rPr>
            </w:pPr>
            <w:r>
              <w:rPr>
                <w:sz w:val="4"/>
                <w:szCs w:val="4"/>
              </w:rPr>
            </w:r>
          </w:p>
        </w:tc>
      </w:tr>
      <w:tr>
        <w:trPr/>
        <w:tc>
          <w:tcPr>
            <w:tcW w:w="51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in millions)</w:t>
            </w:r>
          </w:p>
        </w:tc>
        <w:tc>
          <w:tcPr>
            <w:tcW w:w="5091" w:type="dxa"/>
            <w:gridSpan w:val="16"/>
            <w:tcBorders/>
          </w:tcPr>
          <w:p>
            <w:pPr>
              <w:pStyle w:val="TableContents"/>
              <w:bidi w:val="0"/>
              <w:spacing w:before="0" w:after="283"/>
              <w:jc w:val="left"/>
              <w:rPr>
                <w:sz w:val="4"/>
                <w:szCs w:val="4"/>
              </w:rPr>
            </w:pPr>
            <w:r>
              <w:rPr>
                <w:sz w:val="4"/>
                <w:szCs w:val="4"/>
              </w:rPr>
            </w:r>
          </w:p>
        </w:tc>
      </w:tr>
      <w:tr>
        <w:trPr/>
        <w:tc>
          <w:tcPr>
            <w:tcW w:w="3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694" w:type="dxa"/>
            <w:gridSpan w:val="3"/>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3" w:type="dxa"/>
            <w:gridSpan w:val="14"/>
            <w:tcBorders/>
          </w:tcPr>
          <w:p>
            <w:pPr>
              <w:pStyle w:val="TableContents"/>
              <w:bidi w:val="0"/>
              <w:spacing w:before="0" w:after="283"/>
              <w:jc w:val="left"/>
              <w:rPr>
                <w:sz w:val="4"/>
                <w:szCs w:val="4"/>
              </w:rPr>
            </w:pPr>
            <w:r>
              <w:rPr>
                <w:sz w:val="4"/>
                <w:szCs w:val="4"/>
              </w:rPr>
            </w:r>
          </w:p>
        </w:tc>
      </w:tr>
      <w:tr>
        <w:trPr/>
        <w:tc>
          <w:tcPr>
            <w:tcW w:w="3694" w:type="dxa"/>
            <w:gridSpan w:val="3"/>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Diamondback Energy, Inc.</w:t>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(gain) loss on derivative instruments, net</w:t>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w:t>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interest expense related to equity method investments</w:t>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694" w:type="dxa"/>
            <w:gridSpan w:val="3"/>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694" w:type="dxa"/>
            <w:gridSpan w:val="3"/>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694" w:type="dxa"/>
            <w:gridSpan w:val="3"/>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694" w:type="dxa"/>
            <w:gridSpan w:val="3"/>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w:t>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oil and natural gas properties</w:t>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694" w:type="dxa"/>
            <w:gridSpan w:val="3"/>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equity-based compensation expense</w:t>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equity-based compensation expense</w:t>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694" w:type="dxa"/>
            <w:gridSpan w:val="3"/>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transactions</w:t>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Adjusted EBITDA</w:t>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6,941 </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Adjustment for non-controlling interest</w:t>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 attributable to Diamondback Energy, Inc.</w:t>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6,253 </w:t>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270"/>
        <w:jc w:val="both"/>
        <w:rPr>
          <w:rFonts w:ascii="Times New Roman;serif" w:hAnsi="Times New Roman;serif"/>
          <w:b/>
          <w:color w:val="000000"/>
          <w:sz w:val="24"/>
          <w:u w:val="single"/>
        </w:rPr>
      </w:pPr>
      <w:r>
        <w:rPr>
          <w:rFonts w:ascii="Times New Roman;serif" w:hAnsi="Times New Roman;serif"/>
          <w:b/>
          <w:color w:val="000000"/>
          <w:sz w:val="24"/>
          <w:u w:val="single"/>
        </w:rPr>
        <w:t>ADJUSTED NET INCOME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Adjusted net income is a non-GAAP financial measure equal to net income (loss) attributable to Diamondback Energy, Inc. plus net income (loss) attributable to non-controlling interest ("net income (loss)") adjusted for non-cash (gain) loss on derivative instruments, net, (gain) loss on extinguishment of debt, impairment of oil and natural gas properties, other non-cash transactions and related income tax adjustments. The Company’s computation of adjusted net income may not be comparable to other similarly titled measures of other companies or to such measure in our credit facility or any of our other contracts. Management believes adjusted net income helps investors in the oil and natural gas industry to measure and compare the Company's performance to other oil and natural gas companies by excluding from the calculation items that can vary significantly from company to company depending upon accounting methods, the book value of assets and other non-operational factors. Further, in order to allow investors to compare the Company's performance across periods, the Company excludes the effects of significant transactions that may affect earnings but are unpredictable in nature, timing and amount, although they may recur in different reporting periods.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table presents a reconciliation of the GAAP financial measure of net income (loss) attributable to Diamondback Energy, Inc. to the non-GAAP measure of adjusted net income: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25"/>
        <w:gridCol w:w="1588"/>
        <w:gridCol w:w="1596"/>
        <w:gridCol w:w="437"/>
        <w:gridCol w:w="1278"/>
        <w:gridCol w:w="225"/>
        <w:gridCol w:w="225"/>
        <w:gridCol w:w="225"/>
        <w:gridCol w:w="225"/>
        <w:gridCol w:w="539"/>
        <w:gridCol w:w="1281"/>
        <w:gridCol w:w="273"/>
        <w:gridCol w:w="109"/>
        <w:gridCol w:w="109"/>
        <w:gridCol w:w="109"/>
        <w:gridCol w:w="161"/>
      </w:tblGrid>
      <w:tr>
        <w:trPr/>
        <w:tc>
          <w:tcPr>
            <w:tcW w:w="1825"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Diamondback Energy, Inc.</w:t>
            </w:r>
          </w:p>
        </w:tc>
        <w:tc>
          <w:tcPr>
            <w:tcW w:w="488" w:type="dxa"/>
            <w:gridSpan w:val="4"/>
            <w:tcBorders/>
          </w:tcPr>
          <w:p>
            <w:pPr>
              <w:pStyle w:val="TableContents"/>
              <w:bidi w:val="0"/>
              <w:spacing w:before="0" w:after="283"/>
              <w:jc w:val="left"/>
              <w:rPr>
                <w:sz w:val="4"/>
                <w:szCs w:val="4"/>
              </w:rPr>
            </w:pPr>
            <w:r>
              <w:rPr>
                <w:sz w:val="4"/>
                <w:szCs w:val="4"/>
              </w:rPr>
            </w:r>
          </w:p>
        </w:tc>
      </w:tr>
      <w:tr>
        <w:trPr/>
        <w:tc>
          <w:tcPr>
            <w:tcW w:w="971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 Net Income</w:t>
            </w:r>
          </w:p>
        </w:tc>
        <w:tc>
          <w:tcPr>
            <w:tcW w:w="488" w:type="dxa"/>
            <w:gridSpan w:val="4"/>
            <w:tcBorders/>
          </w:tcPr>
          <w:p>
            <w:pPr>
              <w:pStyle w:val="TableContents"/>
              <w:bidi w:val="0"/>
              <w:spacing w:before="0" w:after="283"/>
              <w:jc w:val="left"/>
              <w:rPr>
                <w:sz w:val="4"/>
                <w:szCs w:val="4"/>
              </w:rPr>
            </w:pPr>
            <w:r>
              <w:rPr>
                <w:sz w:val="4"/>
                <w:szCs w:val="4"/>
              </w:rPr>
            </w:r>
          </w:p>
        </w:tc>
      </w:tr>
      <w:tr>
        <w:trPr/>
        <w:tc>
          <w:tcPr>
            <w:tcW w:w="971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 in millions except per share data, shares in thousands)</w:t>
            </w:r>
          </w:p>
        </w:tc>
        <w:tc>
          <w:tcPr>
            <w:tcW w:w="488" w:type="dxa"/>
            <w:gridSpan w:val="4"/>
            <w:tcBorders/>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Amounts</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Amounts Per Diluted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Net income (loss) attributable to Diamondback Energy, Inc.</w:t>
            </w:r>
            <w:r>
              <w:rPr>
                <w:rFonts w:ascii="Times New Roman;serif" w:hAnsi="Times New Roman;serif"/>
                <w:b/>
                <w:color w:val="000000"/>
                <w:sz w:val="12"/>
              </w:rPr>
              <w:t>(1)</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Net income (loss)</w:t>
            </w:r>
            <w:r>
              <w:rPr>
                <w:rFonts w:ascii="Times New Roman;serif" w:hAnsi="Times New Roman;serif"/>
                <w:b/>
                <w:color w:val="000000"/>
                <w:sz w:val="12"/>
              </w:rPr>
              <w:t>(1)</w:t>
            </w:r>
            <w:r>
              <w:rPr>
                <w:color w:val="000000"/>
              </w:rPr>
              <w:t xml:space="preserve"> </w:t>
            </w:r>
          </w:p>
        </w:tc>
        <w:tc>
          <w:tcPr>
            <w:tcW w:w="17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(gain) loss on derivative instruments, net</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w:t>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transactions</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 excluding above items</w:t>
            </w:r>
            <w:r>
              <w:rPr>
                <w:rFonts w:ascii="Times New Roman;serif" w:hAnsi="Times New Roman;serif"/>
                <w:b w:val="false"/>
                <w:color w:val="000000"/>
                <w:sz w:val="13"/>
              </w:rPr>
              <w:t>(1)</w:t>
            </w:r>
          </w:p>
        </w:tc>
        <w:tc>
          <w:tcPr>
            <w:tcW w:w="17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adjustment for above items</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net income</w:t>
            </w:r>
            <w:r>
              <w:rPr>
                <w:rFonts w:ascii="Times New Roman;serif" w:hAnsi="Times New Roman;serif"/>
                <w:b/>
                <w:color w:val="000000"/>
                <w:sz w:val="12"/>
              </w:rPr>
              <w:t>(1)</w:t>
            </w:r>
          </w:p>
        </w:tc>
        <w:tc>
          <w:tcPr>
            <w:tcW w:w="17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Adjusted net income attributable to non-controlling interest</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net income attributable to Diamondback Energy, Inc.</w:t>
            </w:r>
            <w:r>
              <w:rPr>
                <w:rFonts w:ascii="Times New Roman;serif" w:hAnsi="Times New Roman;serif"/>
                <w:b/>
                <w:color w:val="000000"/>
                <w:sz w:val="12"/>
              </w:rPr>
              <w:t>(1)</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common shares outstanding:</w:t>
            </w:r>
          </w:p>
        </w:tc>
        <w:tc>
          <w:tcPr>
            <w:tcW w:w="1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4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281,202 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281,202 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Company’s earnings (loss) per diluted share amount has been computed using the two-class method in accordance with GAAP. The two-class method is an earnings allocation which reflects the respective ownership among holders of common stock and participating securities. Diluted earnings per share using the two-class method is calculated as (i) net income attributable to Diamondback Energy, Inc., (ii) less the reallocation of $11 million in earnings attributable to participating securities, (iii) divided by diluted weighted average common shares outstanding for the respective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OPERATING CASH FLOW BEFORE WORKING CAPITAL CHANGES, FREE CASH FLOW AND ADJUSTED FREE CASH FLOW</w:t>
      </w:r>
    </w:p>
    <w:p>
      <w:pPr>
        <w:pStyle w:val="TextBody"/>
        <w:bidi w:val="0"/>
        <w:spacing w:before="0" w:after="0"/>
        <w:ind w:left="0" w:right="0" w:hanging="27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Operating cash flow before working capital changes, which is a non-GAAP financial measure, represents net cash provided by operating activities as determined under GAAP without regard to changes in working capital. The Company believes operating cash flow before working capital changes is a useful measure of an oil and natural gas company’s ability to generate cash used to fund exploration, development and acquisition activities and service debt or pay dividends. The Company also uses this measure because changes in working capital relate to the timing of cash receipts and disbursements that the Company may not control and may not relate to the period in which the operating activities occurred. This allows the Company to compare its operating performance with that of other companies without regard to financing methods and capital structure.</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The Company defines Free Cash Flow, which is a non-GAAP financial measure, as cash flow from operating activities before changes in working capital in excess of cash capital expenditures. The Company defines Adjusted Free Cash Flow, which is a non-GAAP financial measure, as Free Cash Flow before the tax impact from divestitures (if any), merger and transaction expenses, costs of early termination of derivatives and settlements of any treasury locks (if any). The Company believes that Free Cash Flow and Adjusted Free Cash Flow are useful to investors as they provide a measure to compare both cash flow from operating activities and additions to oil and natural gas properties across periods on a consistent basis, adjusted, as applicable, for non-recurring impacts from divestitures, merger and transaction expenses, the early termination of derivative contracts and settlements of treasury locks. These measures should not be considered as an alternative to, or more meaningful than, net cash provided by operating activities as an indicator of liquidity. The Company's computation of Free Cash Flow may not be comparable to other similarly titled measures of other companies.</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following tables present a reconciliation of the GAAP financial measure of net cash provided by operating activities to the non-GAAP measure of operating cash flow before working capital changes and to the non-GAAP measures of Free Cash Flow and Adjusted Free Cash Flow: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07"/>
        <w:gridCol w:w="1078"/>
        <w:gridCol w:w="1050"/>
        <w:gridCol w:w="620"/>
        <w:gridCol w:w="1813"/>
        <w:gridCol w:w="320"/>
        <w:gridCol w:w="320"/>
        <w:gridCol w:w="320"/>
        <w:gridCol w:w="320"/>
        <w:gridCol w:w="320"/>
        <w:gridCol w:w="109"/>
        <w:gridCol w:w="413"/>
        <w:gridCol w:w="1207"/>
        <w:gridCol w:w="213"/>
        <w:gridCol w:w="109"/>
        <w:gridCol w:w="109"/>
        <w:gridCol w:w="109"/>
        <w:gridCol w:w="109"/>
        <w:gridCol w:w="159"/>
      </w:tblGrid>
      <w:tr>
        <w:trPr/>
        <w:tc>
          <w:tcPr>
            <w:tcW w:w="150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668"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Diamondback Energy, Inc.</w:t>
            </w:r>
          </w:p>
        </w:tc>
        <w:tc>
          <w:tcPr>
            <w:tcW w:w="2537" w:type="dxa"/>
            <w:gridSpan w:val="9"/>
            <w:tcBorders/>
          </w:tcPr>
          <w:p>
            <w:pPr>
              <w:pStyle w:val="TableContents"/>
              <w:bidi w:val="0"/>
              <w:spacing w:before="0" w:after="283"/>
              <w:jc w:val="left"/>
              <w:rPr>
                <w:sz w:val="4"/>
                <w:szCs w:val="4"/>
              </w:rPr>
            </w:pPr>
            <w:r>
              <w:rPr>
                <w:sz w:val="4"/>
                <w:szCs w:val="4"/>
              </w:rPr>
            </w:r>
          </w:p>
        </w:tc>
      </w:tr>
      <w:tr>
        <w:trPr/>
        <w:tc>
          <w:tcPr>
            <w:tcW w:w="7668"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Cash Flow Before Working Capital Changes, Free Cash Flow and Adjusted Free Cash Flow</w:t>
            </w:r>
          </w:p>
        </w:tc>
        <w:tc>
          <w:tcPr>
            <w:tcW w:w="2537" w:type="dxa"/>
            <w:gridSpan w:val="9"/>
            <w:tcBorders/>
          </w:tcPr>
          <w:p>
            <w:pPr>
              <w:pStyle w:val="TableContents"/>
              <w:bidi w:val="0"/>
              <w:spacing w:before="0" w:after="283"/>
              <w:jc w:val="left"/>
              <w:rPr>
                <w:sz w:val="4"/>
                <w:szCs w:val="4"/>
              </w:rPr>
            </w:pPr>
            <w:r>
              <w:rPr>
                <w:sz w:val="4"/>
                <w:szCs w:val="4"/>
              </w:rPr>
            </w:r>
          </w:p>
        </w:tc>
      </w:tr>
      <w:tr>
        <w:trPr/>
        <w:tc>
          <w:tcPr>
            <w:tcW w:w="7668"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in millions)</w:t>
            </w:r>
          </w:p>
        </w:tc>
        <w:tc>
          <w:tcPr>
            <w:tcW w:w="2537" w:type="dxa"/>
            <w:gridSpan w:val="9"/>
            <w:tcBorders/>
          </w:tcPr>
          <w:p>
            <w:pPr>
              <w:pStyle w:val="TableContents"/>
              <w:bidi w:val="0"/>
              <w:spacing w:before="0" w:after="283"/>
              <w:jc w:val="left"/>
              <w:rPr>
                <w:sz w:val="4"/>
                <w:szCs w:val="4"/>
              </w:rPr>
            </w:pPr>
            <w:r>
              <w:rPr>
                <w:sz w:val="4"/>
                <w:szCs w:val="4"/>
              </w:rPr>
            </w:r>
          </w:p>
        </w:tc>
      </w:tr>
      <w:tr>
        <w:trPr/>
        <w:tc>
          <w:tcPr>
            <w:tcW w:w="3635" w:type="dxa"/>
            <w:gridSpan w:val="3"/>
            <w:tcBorders/>
            <w:vAlign w:val="center"/>
          </w:tcPr>
          <w:p>
            <w:pPr>
              <w:pStyle w:val="TableContents"/>
              <w:bidi w:val="0"/>
              <w:spacing w:before="0" w:after="283"/>
              <w:jc w:val="left"/>
              <w:rPr>
                <w:sz w:val="4"/>
                <w:szCs w:val="4"/>
              </w:rPr>
            </w:pPr>
            <w:r>
              <w:rPr>
                <w:sz w:val="4"/>
                <w:szCs w:val="4"/>
              </w:rPr>
            </w:r>
          </w:p>
        </w:tc>
        <w:tc>
          <w:tcPr>
            <w:tcW w:w="2753"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8" w:type="dxa"/>
            <w:gridSpan w:val="8"/>
            <w:tcBorders/>
          </w:tcPr>
          <w:p>
            <w:pPr>
              <w:pStyle w:val="TableContents"/>
              <w:bidi w:val="0"/>
              <w:spacing w:before="0" w:after="283"/>
              <w:jc w:val="left"/>
              <w:rPr>
                <w:sz w:val="4"/>
                <w:szCs w:val="4"/>
              </w:rPr>
            </w:pPr>
            <w:r>
              <w:rPr>
                <w:sz w:val="4"/>
                <w:szCs w:val="4"/>
              </w:rPr>
            </w:r>
          </w:p>
        </w:tc>
      </w:tr>
      <w:tr>
        <w:trPr/>
        <w:tc>
          <w:tcPr>
            <w:tcW w:w="3635" w:type="dxa"/>
            <w:gridSpan w:val="3"/>
            <w:tcBorders/>
            <w:vAlign w:val="center"/>
          </w:tcPr>
          <w:p>
            <w:pPr>
              <w:pStyle w:val="TableContents"/>
              <w:bidi w:val="0"/>
              <w:spacing w:before="0" w:after="283"/>
              <w:jc w:val="left"/>
              <w:rPr>
                <w:sz w:val="4"/>
                <w:szCs w:val="4"/>
              </w:rPr>
            </w:pPr>
            <w:r>
              <w:rPr>
                <w:sz w:val="4"/>
                <w:szCs w:val="4"/>
              </w:rPr>
            </w:r>
          </w:p>
        </w:tc>
        <w:tc>
          <w:tcPr>
            <w:tcW w:w="2753"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6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Changes in cash due to changes in operating assets and liabilities:</w:t>
            </w:r>
          </w:p>
        </w:tc>
        <w:tc>
          <w:tcPr>
            <w:tcW w:w="2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vAlign w:val="center"/>
          </w:tcPr>
          <w:p>
            <w:pPr>
              <w:pStyle w:val="TableContents"/>
              <w:bidi w:val="0"/>
              <w:spacing w:before="0" w:after="283"/>
              <w:jc w:val="left"/>
              <w:rPr>
                <w:sz w:val="4"/>
                <w:szCs w:val="4"/>
              </w:rPr>
            </w:pPr>
            <w:r>
              <w:rPr>
                <w:sz w:val="4"/>
                <w:szCs w:val="4"/>
              </w:rPr>
            </w:r>
          </w:p>
        </w:tc>
        <w:tc>
          <w:tcPr>
            <w:tcW w:w="2753"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vAlign w:val="center"/>
          </w:tcPr>
          <w:p>
            <w:pPr>
              <w:pStyle w:val="TableContents"/>
              <w:bidi w:val="0"/>
              <w:spacing w:before="0" w:after="283"/>
              <w:jc w:val="left"/>
              <w:rPr>
                <w:sz w:val="4"/>
                <w:szCs w:val="4"/>
              </w:rPr>
            </w:pPr>
            <w:r>
              <w:rPr>
                <w:sz w:val="4"/>
                <w:szCs w:val="4"/>
              </w:rPr>
            </w:r>
          </w:p>
        </w:tc>
        <w:tc>
          <w:tcPr>
            <w:tcW w:w="2753"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2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and royalties payable</w:t>
            </w:r>
          </w:p>
        </w:tc>
        <w:tc>
          <w:tcPr>
            <w:tcW w:w="2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working capital changes</w:t>
            </w:r>
          </w:p>
        </w:tc>
        <w:tc>
          <w:tcPr>
            <w:tcW w:w="24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cash flow before working capital changes</w:t>
            </w:r>
          </w:p>
        </w:tc>
        <w:tc>
          <w:tcPr>
            <w:tcW w:w="24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oil and natural gas properties</w:t>
            </w:r>
          </w:p>
        </w:tc>
        <w:tc>
          <w:tcPr>
            <w:tcW w:w="24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CAPEX</w:t>
            </w:r>
          </w:p>
        </w:tc>
        <w:tc>
          <w:tcPr>
            <w:tcW w:w="24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Free Cash Flow</w:t>
            </w:r>
          </w:p>
        </w:tc>
        <w:tc>
          <w:tcPr>
            <w:tcW w:w="24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vAlign w:val="center"/>
          </w:tcPr>
          <w:p>
            <w:pPr>
              <w:pStyle w:val="TableContents"/>
              <w:bidi w:val="0"/>
              <w:spacing w:before="0" w:after="283"/>
              <w:jc w:val="left"/>
              <w:rPr>
                <w:sz w:val="4"/>
                <w:szCs w:val="4"/>
              </w:rPr>
            </w:pPr>
            <w:r>
              <w:rPr>
                <w:sz w:val="4"/>
                <w:szCs w:val="4"/>
              </w:rPr>
            </w:r>
          </w:p>
        </w:tc>
        <w:tc>
          <w:tcPr>
            <w:tcW w:w="2753"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Merger and transaction expenses</w:t>
            </w:r>
            <w:r>
              <w:rPr>
                <w:rFonts w:ascii="Times New Roman;serif" w:hAnsi="Times New Roman;serif"/>
                <w:b w:val="false"/>
                <w:color w:val="000000"/>
                <w:sz w:val="13"/>
              </w:rPr>
              <w:t>(1)</w:t>
            </w:r>
          </w:p>
        </w:tc>
        <w:tc>
          <w:tcPr>
            <w:tcW w:w="2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Early termination of derivatives</w:t>
            </w:r>
          </w:p>
        </w:tc>
        <w:tc>
          <w:tcPr>
            <w:tcW w:w="2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vAlign w:val="center"/>
          </w:tcPr>
          <w:p>
            <w:pPr>
              <w:pStyle w:val="TableContents"/>
              <w:bidi w:val="0"/>
              <w:spacing w:before="0" w:after="283"/>
              <w:jc w:val="left"/>
              <w:rPr>
                <w:sz w:val="4"/>
                <w:szCs w:val="4"/>
              </w:rPr>
            </w:pPr>
            <w:r>
              <w:rPr>
                <w:sz w:val="4"/>
                <w:szCs w:val="4"/>
              </w:rPr>
            </w:r>
          </w:p>
        </w:tc>
        <w:tc>
          <w:tcPr>
            <w:tcW w:w="2753"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Free Cash Flow</w:t>
            </w:r>
          </w:p>
        </w:tc>
        <w:tc>
          <w:tcPr>
            <w:tcW w:w="6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$4 million of Viper's transaction expenses related to the Sitio Acquisition for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70"/>
        <w:jc w:val="both"/>
        <w:rPr>
          <w:rFonts w:ascii="Times New Roman;serif" w:hAnsi="Times New Roman;serif"/>
          <w:b/>
          <w:color w:val="000000"/>
          <w:sz w:val="24"/>
          <w:u w:val="single"/>
        </w:rPr>
      </w:pPr>
      <w:r>
        <w:rPr>
          <w:rFonts w:ascii="Times New Roman;serif" w:hAnsi="Times New Roman;serif"/>
          <w:b/>
          <w:color w:val="000000"/>
          <w:sz w:val="24"/>
          <w:u w:val="single"/>
        </w:rPr>
        <w:t>NET DEBT</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 defines the non-GAAP measure of net debt as total debt (excluding debt issuance costs, discounts, premiums and unamortized basis adjustments) less cash and cash equivalents and restricted cash that has been irrevocably deposited for the redemption of principal amounts of outstanding senior notes. Net debt should not be considered an alternative to, or more meaningful than, total debt, the most directly comparable GAAP measure. Management uses net debt to determine the Company's outstanding debt obligations that would not be readily satisfied by its cash and cash equivalents on hand. The Company believes this metric is useful to analysts and investors in determining the Company's leverage position because the Company has the ability to, and may decide to, use a portion of its cash and cash equivalents to reduce debt.</w:t>
      </w:r>
    </w:p>
    <w:tbl>
      <w:tblPr>
        <w:tblW w:w="10205" w:type="dxa"/>
        <w:jc w:val="left"/>
        <w:tblInd w:w="0" w:type="dxa"/>
        <w:tblLayout w:type="fixed"/>
        <w:tblCellMar>
          <w:top w:w="28" w:type="dxa"/>
          <w:left w:w="28" w:type="dxa"/>
          <w:bottom w:w="28" w:type="dxa"/>
          <w:right w:w="28" w:type="dxa"/>
        </w:tblCellMar>
      </w:tblPr>
      <w:tblGrid>
        <w:gridCol w:w="523"/>
        <w:gridCol w:w="461"/>
        <w:gridCol w:w="462"/>
        <w:gridCol w:w="207"/>
        <w:gridCol w:w="683"/>
        <w:gridCol w:w="115"/>
        <w:gridCol w:w="109"/>
        <w:gridCol w:w="109"/>
        <w:gridCol w:w="109"/>
        <w:gridCol w:w="391"/>
        <w:gridCol w:w="1142"/>
        <w:gridCol w:w="218"/>
        <w:gridCol w:w="109"/>
        <w:gridCol w:w="109"/>
        <w:gridCol w:w="109"/>
        <w:gridCol w:w="215"/>
        <w:gridCol w:w="712"/>
        <w:gridCol w:w="120"/>
        <w:gridCol w:w="109"/>
        <w:gridCol w:w="109"/>
        <w:gridCol w:w="109"/>
        <w:gridCol w:w="231"/>
        <w:gridCol w:w="764"/>
        <w:gridCol w:w="128"/>
        <w:gridCol w:w="109"/>
        <w:gridCol w:w="109"/>
        <w:gridCol w:w="109"/>
        <w:gridCol w:w="234"/>
        <w:gridCol w:w="773"/>
        <w:gridCol w:w="130"/>
        <w:gridCol w:w="109"/>
        <w:gridCol w:w="109"/>
        <w:gridCol w:w="109"/>
        <w:gridCol w:w="206"/>
        <w:gridCol w:w="681"/>
        <w:gridCol w:w="174"/>
      </w:tblGrid>
      <w:tr>
        <w:trPr/>
        <w:tc>
          <w:tcPr>
            <w:tcW w:w="52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Diamondback Energy, Inc.</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Net Debt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(unaudited, in millions)</w:t>
            </w:r>
          </w:p>
        </w:tc>
      </w:tr>
      <w:tr>
        <w:trPr/>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Net Q2 Principal Borrowings/(Repayments)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r>
      <w:tr>
        <w:trPr/>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Diamondback Energy, Inc.</w:t>
            </w:r>
            <w:r>
              <w:rPr>
                <w:rFonts w:ascii="Times New Roman;serif" w:hAnsi="Times New Roman;serif"/>
                <w:b w:val="false"/>
                <w:color w:val="000000"/>
                <w:sz w:val="12"/>
              </w:rPr>
              <w:t>(1)</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Viper Energy, Inc.</w:t>
            </w:r>
            <w:r>
              <w:rPr>
                <w:rFonts w:ascii="Times New Roman;serif" w:hAnsi="Times New Roman;serif"/>
                <w:b w:val="false"/>
                <w:color w:val="000000"/>
                <w:sz w:val="12"/>
              </w:rPr>
              <w:t>(1)</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debt</w:t>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14,667 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16,432 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15,317 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debt</w:t>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12,304 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13,894 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14,563 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15,893 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15,098 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(1)Excludes debt issuance costs, discounts, premiums and unamortized basis adjustments.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DERIVATIVES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of July 31, 2026, the Company had the following outstanding consolidated derivative contracts, including derivative contracts at Viper. The Company’s derivative contracts are based upon reported settlement prices on commodity exchanges, with crude oil derivative settlements based on New York Mercantile Exchange West Texas Intermediate pricing and Crude Oil Brent pricing and with natural gas derivative settlements based on the New York Mercantile Exchange Henry Hub pricing. When aggregating multiple contracts, the weighted average contract price is disclosed.</w:t>
      </w:r>
    </w:p>
    <w:p>
      <w:pPr>
        <w:pStyle w:val="TextBody"/>
        <w:bidi w:val="0"/>
        <w:spacing w:before="0" w:after="0"/>
        <w:jc w:val="both"/>
        <w:rPr/>
      </w:pPr>
      <w:r>
        <w:rPr/>
      </w:r>
    </w:p>
    <w:tbl>
      <w:tblPr>
        <w:tblW w:w="9925" w:type="dxa"/>
        <w:jc w:val="center"/>
        <w:tblInd w:w="0" w:type="dxa"/>
        <w:tblLayout w:type="fixed"/>
        <w:tblCellMar>
          <w:top w:w="28" w:type="dxa"/>
          <w:left w:w="28" w:type="dxa"/>
          <w:bottom w:w="28" w:type="dxa"/>
          <w:right w:w="28" w:type="dxa"/>
        </w:tblCellMar>
      </w:tblPr>
      <w:tblGrid>
        <w:gridCol w:w="1232"/>
        <w:gridCol w:w="1082"/>
        <w:gridCol w:w="1091"/>
        <w:gridCol w:w="244"/>
        <w:gridCol w:w="244"/>
        <w:gridCol w:w="246"/>
        <w:gridCol w:w="109"/>
        <w:gridCol w:w="109"/>
        <w:gridCol w:w="109"/>
        <w:gridCol w:w="244"/>
        <w:gridCol w:w="244"/>
        <w:gridCol w:w="246"/>
        <w:gridCol w:w="109"/>
        <w:gridCol w:w="109"/>
        <w:gridCol w:w="109"/>
        <w:gridCol w:w="244"/>
        <w:gridCol w:w="244"/>
        <w:gridCol w:w="246"/>
        <w:gridCol w:w="109"/>
        <w:gridCol w:w="109"/>
        <w:gridCol w:w="109"/>
        <w:gridCol w:w="244"/>
        <w:gridCol w:w="244"/>
        <w:gridCol w:w="246"/>
        <w:gridCol w:w="109"/>
        <w:gridCol w:w="109"/>
        <w:gridCol w:w="109"/>
        <w:gridCol w:w="244"/>
        <w:gridCol w:w="244"/>
        <w:gridCol w:w="246"/>
        <w:gridCol w:w="109"/>
        <w:gridCol w:w="109"/>
        <w:gridCol w:w="109"/>
        <w:gridCol w:w="244"/>
        <w:gridCol w:w="244"/>
        <w:gridCol w:w="246"/>
        <w:gridCol w:w="109"/>
        <w:gridCol w:w="109"/>
        <w:gridCol w:w="109"/>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Crude Oil (Bbls/day,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 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 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Q4 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 Puts - Crude Brent Oil</w:t>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Long Put Price ($/Bbl)</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Deferred Premium ($/Bbl)</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 Puts - WTI (Magellan East Houston)</w:t>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Long Put Price ($/Bbl)</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Deferred Premium ($/Bbl)</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 Puts - WTI (Cushing)</w:t>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Long Put Price ($/Bbl)</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Deferred Premium ($/Bbl)</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Put Spreads WTI (Cushing)</w:t>
            </w:r>
          </w:p>
        </w:tc>
        <w:tc>
          <w:tcPr>
            <w:tcW w:w="7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Long Put Price ($/Bbl)</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Short Put Price ($/Bbl)</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Basis Swaps - WTI (Midland)</w:t>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WTI / Brent Basis Puts</w:t>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290,000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Spread ($/Bbl)</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Deferred Premium ($/Bbl)</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Roll Swaps - WTI</w:t>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73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568" w:type="dxa"/>
        <w:jc w:val="center"/>
        <w:tblInd w:w="0" w:type="dxa"/>
        <w:tblLayout w:type="fixed"/>
        <w:tblCellMar>
          <w:top w:w="28" w:type="dxa"/>
          <w:left w:w="28" w:type="dxa"/>
          <w:bottom w:w="28" w:type="dxa"/>
          <w:right w:w="28" w:type="dxa"/>
        </w:tblCellMar>
      </w:tblPr>
      <w:tblGrid>
        <w:gridCol w:w="1445"/>
        <w:gridCol w:w="1270"/>
        <w:gridCol w:w="1274"/>
        <w:gridCol w:w="244"/>
        <w:gridCol w:w="244"/>
        <w:gridCol w:w="246"/>
        <w:gridCol w:w="150"/>
        <w:gridCol w:w="150"/>
        <w:gridCol w:w="150"/>
        <w:gridCol w:w="244"/>
        <w:gridCol w:w="244"/>
        <w:gridCol w:w="246"/>
        <w:gridCol w:w="150"/>
        <w:gridCol w:w="150"/>
        <w:gridCol w:w="150"/>
        <w:gridCol w:w="249"/>
        <w:gridCol w:w="249"/>
        <w:gridCol w:w="251"/>
        <w:gridCol w:w="150"/>
        <w:gridCol w:w="150"/>
        <w:gridCol w:w="150"/>
        <w:gridCol w:w="249"/>
        <w:gridCol w:w="249"/>
        <w:gridCol w:w="251"/>
        <w:gridCol w:w="109"/>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Natural Gas (Mmbtu/day, $/Mmbtu)</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 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Q4 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FY 2027</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FY 2028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Costless Collars - Henry Hub</w:t>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840,000</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840,000</w:t>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720,000</w:t>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Floor Price ($/Mmbtu)</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Ceiling Price ($/Mmbtu)</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Natural Gas Basis Swaps - Waha Hub</w:t>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650,000</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650,000</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370,000</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Natural Gas Basis Swaps - Houston Ship Channel</w:t>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w:t>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w:t>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Investor Contact:</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Adam Lawlis</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+1 432.221.7467</w:t>
      </w:r>
    </w:p>
    <w:p>
      <w:pPr>
        <w:pStyle w:val="TextBody"/>
        <w:bidi w:val="0"/>
        <w:spacing w:lineRule="auto" w:line="288"/>
        <w:jc w:val="right"/>
        <w:rPr>
          <w:rFonts w:ascii="Times New Roman;serif" w:hAnsi="Times New Roman;serif"/>
          <w:b w:val="false"/>
          <w:color w:val="000000"/>
          <w:sz w:val="24"/>
        </w:rPr>
      </w:pPr>
      <w:r>
        <w:rPr>
          <w:rFonts w:ascii="Times New Roman;serif" w:hAnsi="Times New Roman;serif"/>
          <w:b w:val="false"/>
          <w:color w:val="000000"/>
          <w:sz w:val="24"/>
        </w:rPr>
        <w:t xml:space="preserve">alawlis@diamondbackenergy.com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br/>
        <w:t>Exhibit 99.2</w:t>
      </w:r>
    </w:p>
    <w:p>
      <w:pPr>
        <w:pStyle w:val="TextBody"/>
        <w:bidi w:val="0"/>
        <w:spacing w:before="0" w:after="0"/>
        <w:jc w:val="right"/>
        <w:rPr/>
      </w:pPr>
      <w:r>
        <w:rPr/>
      </w:r>
    </w:p>
    <w:p>
      <w:pPr>
        <w:pStyle w:val="TextBody"/>
        <w:bidi w:val="0"/>
        <w:spacing w:before="0" w:after="0"/>
        <w:jc w:val="left"/>
        <w:rPr/>
      </w:pPr>
      <w:r>
        <w:rPr/>
        <w:drawing>
          <wp:inline distT="0" distB="0" distL="0" distR="0">
            <wp:extent cx="2857500" cy="1038225"/>
            <wp:effectExtent l="0" t="0" r="0" b="0"/>
            <wp:docPr id="2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 descr=""/>
                    <pic:cNvPicPr>
                      <a:picLocks noChangeAspect="1" noChangeArrowheads="1"/>
                    </pic:cNvPicPr>
                  </pic:nvPicPr>
                  <pic:blipFill>
                    <a:blip r:embed="rId3"/>
                    <a:stretch>
                      <a:fillRect/>
                    </a:stretch>
                  </pic:blipFill>
                  <pic:spPr bwMode="auto">
                    <a:xfrm>
                      <a:off x="0" y="0"/>
                      <a:ext cx="2857500" cy="1038225"/>
                    </a:xfrm>
                    <a:prstGeom prst="rect">
                      <a:avLst/>
                    </a:prstGeom>
                  </pic:spPr>
                </pic:pic>
              </a:graphicData>
            </a:graphic>
          </wp:inline>
        </w:drawing>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LETTER TO STOCKHOLDERS ISSUED BY DIAMONDBACK ENERGY, INC.</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Midland, TX (August 3,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Diamondback Stockholders,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This letter is meant to be a supplement to our earnings release and is being furnished to the Securities and Exchange Commission (SEC) and released to our stockholders simultaneously with our earnings release. Please see the information regarding forward-looking statements and non-GAAP financial information included at the end of this letter.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u w:val="single"/>
        </w:rPr>
      </w:pPr>
      <w:r>
        <w:rPr>
          <w:rFonts w:ascii="Times New Roman;serif" w:hAnsi="Times New Roman;serif"/>
          <w:b/>
          <w:color w:val="000000"/>
          <w:sz w:val="24"/>
          <w:u w:val="single"/>
        </w:rPr>
        <w:t xml:space="preserve">Macro Update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The disruption of oil flows through the Strait of Hormuz has triggered the largest supply shock in the history of the global oil market. Global oil production in May was estimated to be 13.6 million barrels per day below pre-conflict levels, with global observed inventories drawing an estimated 143 million barrels in the month</w:t>
      </w:r>
      <w:r>
        <w:rPr>
          <w:rFonts w:ascii="Times New Roman;serif" w:hAnsi="Times New Roman;serif"/>
          <w:b w:val="false"/>
          <w:color w:val="000000"/>
          <w:sz w:val="16"/>
        </w:rPr>
        <w:t>1</w:t>
      </w:r>
      <w:r>
        <w:rPr>
          <w:rFonts w:ascii="Times New Roman;serif" w:hAnsi="Times New Roman;serif"/>
          <w:b w:val="false"/>
          <w:color w:val="000000"/>
          <w:sz w:val="24"/>
        </w:rPr>
        <w:t>. As a result, prices spiked and volatility surged.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Diamondback responded to this price signal by leveraging our significant inventory of drilled but uncompleted wells. We were able to quickly add an additional completion crew and immediately brought incremental barrels to market, adding significant cash flow and value for our stockholders.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Today, the macro backdrop remains highly volatile. Oil flows are recovering in fits and starts with significant future uncertainty. The supply shock drove record global inventory draws, averaging an estimated 3.8 million barrels per day from the onset of the conflict and accelerating to an estimated 4.6 million barrels per day in May</w:t>
      </w:r>
      <w:r>
        <w:rPr>
          <w:rFonts w:ascii="Times New Roman;serif" w:hAnsi="Times New Roman;serif"/>
          <w:b w:val="false"/>
          <w:color w:val="000000"/>
          <w:sz w:val="16"/>
        </w:rPr>
        <w:t>2</w:t>
      </w:r>
      <w:r>
        <w:rPr>
          <w:rFonts w:ascii="Times New Roman;serif" w:hAnsi="Times New Roman;serif"/>
          <w:b w:val="false"/>
          <w:color w:val="000000"/>
          <w:sz w:val="24"/>
        </w:rPr>
        <w:t>. These draws will eventually have to reverse, and we believe the restocking required to rebuild global inventories has structurally raised the floor for oil prices compared to pre-conflict prices. The timing of the eventual supply normalization is impossible to predict and we therefore expect this volatility to continue. Through this volatility, our priorities remain unchanged: execute with the best capital efficiency in the industry and allocate Free Cash Flow appropriately to maximize long-term stockholder value.</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Source: International Energy Agency, </w:t>
      </w:r>
      <w:r>
        <w:rPr>
          <w:rFonts w:ascii="Times New Roman;serif" w:hAnsi="Times New Roman;serif"/>
          <w:b w:val="false"/>
          <w:i/>
          <w:color w:val="000000"/>
          <w:sz w:val="20"/>
        </w:rPr>
        <w:t xml:space="preserve">Oil Market Report – June 2026 (June 17, 2026). </w:t>
      </w:r>
    </w:p>
    <w:p>
      <w:pPr>
        <w:pStyle w:val="TextBody"/>
        <w:bidi w:val="0"/>
        <w:spacing w:lineRule="auto" w:line="288"/>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Inventory figures reflect International Energy Agency's preliminary estimates of observed global stocks.</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color w:val="000000"/>
          <w:sz w:val="24"/>
          <w:u w:val="single"/>
        </w:rPr>
      </w:pPr>
      <w:r>
        <w:rPr>
          <w:rFonts w:ascii="Times New Roman;serif" w:hAnsi="Times New Roman;serif"/>
          <w:b/>
          <w:color w:val="000000"/>
          <w:sz w:val="24"/>
          <w:u w:val="single"/>
        </w:rPr>
        <w:t>Second Quarter 2026 Operational Performance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Second quarter oil production averaged 525 MBO/d, 1% above what we produced in the first quarter and at the top end of our guidance range. Total production for the quarter averaged 1,018 MBOE/d, putting Diamondback’s average production above one million barrels of oil equivalent per day for the first time in our Company’s history.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are honored to join the million barrel of oil equivalent per day “club” as an independent oil and gas company born and raised in Midland, Texas. It was just 2012 when Diamondback was barely producing 3,000 BOE/d from vertical Wolfberry wells. That same year, Diamondback launched a failed sales process. In fact, we received zero bids from eight potential suitors, forcing us to go public as our only viable strategic alternative. Those early days formed our identity and ingrained the unique culture we still have today. I, and all our employees, owe a debt of gratitude to the founders who took a chance on building this company; our success is directly attributable to the decisions they made back then.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As a result of our year-to-date volume outperformance, we are raising full-year oil production guidance to 522+ MBO/d (from 520+) and total production guidance to 1,000+ MBOE/d (from 972+). Our full-year capex guidance remains unchanged at approximately $3.90 billion.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Cash capital expenditures for the quarter were $996 million, in line with guidance. While we have not seen significant service cost inflation to date outside of fuel and fuel-adjacent costs, we expect to see inflation on fixed costs (such as casing) through the rest of this year and into 2027 as we anticipate activity levels and rig count in the Permian Basin to grow. We have a track record of offsetting inflation with efficiency gains in the field and we will challenge our teams to do so again during this cycle.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Lease operating expense declined in the second quarter to $5.96 per BOE from $6.21 in the first quarter as the team did a great job minimizing both production downtime and our backlog ratio. Additionally, cash G&amp;A fell to $0.52 per BOE from $0.65 per BOE in the first quarter. Together these improvements brought total cash operating expense to $10.96 per BOE, down ~3% quarter over quarter.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Our operations teams delivered another strong quarter while managing a meaningful step-up in activity. The team drilled its longest well ever at a record 31,465' total depth, drilled the three lowest-cost Wolfcamp D wells in our history and executed our first six U-turn wells (3-mile laterals, 1.5 miles out and back). Completions delivered its first full quarter of continuous pumping with 21.3 hours of average pumping time per day which translated to an average of ~4,700 lateral feet completed per day. Equipment cost per well fell ~14% quarter over quarter, and our gas offload strategy contributed to an estimated ~24% reduction in flaring quarter over quarter, helping protect ~1,400 MBO of oil that would otherwise have been choked back due to takeaway constraints.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continue to test and develop our chemical Enhanced Oil Recovery program, and the early results have us increasingly excited about the opportunity ahead. Our second batch of well tests is currently flowing back with encouraging results, building on the momentum of our pilot 50-well program that we completed in the second half of 2025. We believe improving oil recovery factors across the Permian Basin is one of the most important frontiers emerging in our industry today. Unlocking even a fraction more of the barrels in place beneath our thousands of producing wells represents one of the highest-return uses of capital available anywhere in our business. A modest uplift in recovery factor, applied across a well base of this scale, has the potential to rival the value created by the drillbit itself without adding a single new location to our inventory.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intend to be on the front foot here: not only learning and testing new methods, but also positioning ourselves to invest behind them with conviction as the data set matures. We are building the technical foundation today to deploy capital across these opportunities at scale tomorrow. The durability and low cost of our inventory are precisely what afford us the flexibility to pursue this next leg of value creation at our own pace.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Second Quarter 2026 Financial Performance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We generated $3.6 billion in net cash from operating activities in the second quarter, which translated to $2.3 billion of Free Cash Flow and Adjusted Free Cash Flow.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Per-share growth through the commodity price cycles remains a core tenet of our value proposition, and nothing demonstrates this better than the nearly two years since closing the Endeavor merger. Comparing the second quarter of 2026 to the second quarter of 2024: net cash provided by operating activities per share has grown 49%, Free Cash Flow per share has grown 81% and oil production per share has grown 21%. These results extend a decade of compounding per-share metrics: net cash provided by operating activities per share has grown roughly nineteen-fold since 2016, oil production and reserves per share have more than quadrupled and the dividend has compounded 8.8 times since its 2018 initiation.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u w:val="single"/>
        </w:rPr>
      </w:pPr>
      <w:r>
        <w:rPr>
          <w:rFonts w:ascii="Times New Roman;serif" w:hAnsi="Times New Roman;serif"/>
          <w:b/>
          <w:color w:val="000000"/>
          <w:sz w:val="24"/>
          <w:u w:val="single"/>
        </w:rPr>
        <w:t>Gas Monetization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Second quarter gas realizations were negative $2.15/Mcf (pre-hedge), a direct consequence of insufficient takeaway capacity trapping gas in West Texas. This issue was compounded by spring pipeline maintenance that drove Waha pricing to a record low of approximately negative $10/Mcf. The basis hedges we layered on over the last couple years helped insulate us from this negative pricing complex, but we did not exit the quarter unscathed. With new takeaway capacity coming online, Waha turned positive in July and has held up since, setting up what we view as a meaningful tailwind for the coming years.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To combat the persistent gas takeaway issues in the Permian Basin, we have deliberately been building in optionality for our gas molecules. We have significantly increased our pipeline capacity via commitments to multiple long-haul pipelines to the Gulf Coast while also working to develop local paths to in-basin demand. Our additional secured takeaway capacity is expected to more than double our long-haul takeaway by the end of this year, structurally shifting our price exposure toward larger demand hubs.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believe in the long-term thesis for gas demand growth in this country, with both LNG buildout and power generation driving this need for incremental future supply. We always talk internally that the Permian “hasn’t even tried to produce gas yet,” and we think that still holds true today. Should there ever be a price signal calling for Permian gas growth, whether it be for power needs for AI data centers, LNG demand or simply replacing supply, we are confident the Permian Basin will be able to answer that call.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Over the past few months, we have been pleased to see announcements for sizable behind-the-meter data center buildouts in the Permian Basin. We continue to firmly believe the best way to assuage the public’s concerns on data centers and their potential impact on the average American’s energy affordability is to build them where energy (through the natural gas molecule) and land are abundant. There is no better place in the country to do this today than the Permian Basin. Diamondback continues to work on bringing additional gigawatt+ scale power opportunities to West Texas on our surface acreage. We have a large, shovel-ready project that we are working to bring to fruition and will provide more detail when we have a signed long-term contract with a credible counterparty.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color w:val="000000"/>
          <w:sz w:val="24"/>
          <w:u w:val="single"/>
        </w:rPr>
      </w:pPr>
      <w:r>
        <w:rPr>
          <w:rFonts w:ascii="Times New Roman;serif" w:hAnsi="Times New Roman;serif"/>
          <w:b/>
          <w:color w:val="000000"/>
          <w:sz w:val="24"/>
          <w:u w:val="single"/>
        </w:rPr>
        <w:t>Capital Allocation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Last quarter, we emphasized that maximizing flexibility for the allocation of Free Cash Flow is paramount to long-term value creation in a cyclical, commodity-based business. The second quarter proved this point. By removing our prior formulaic return of capital framework, we were able to materially accelerate absolute debt reduction. We reduced consolidated total debt by approximately $1.3 billion quarter over quarter to $12.8 billion, and consolidated net debt by approximately $1.6 billion quarter over quarter to $12.3 billion. In the last 12 months, we have reduced our consolidated total debt by $2.6 billion, or ~17%, and our consolidated net debt by $2.8 billion, or ~19%. We expect to continue to prioritize debt reduction and use excess Free Cash Flow to improve the balance sheet.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Today, we also announced that our Board of Directors has approved the doubling of our share repurchase authorization to $16.0 billion. Since initiating our buyback program in 2021, we have repurchased ~43 million shares for $6.1 billion at an average price of $142.44 per share. Today’s increased authorization provides significant capacity and flexibility to opportunistically repurchase our shares when they are trading below our view of per share value at a conservative mid-cycle oil price with a rate of return above our implied cost of capital.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For example, during the second quarter, we repurchased approximately 756,000 shares for $141 million at an average price of $186.63 per share. As the share price weakened early in the third quarter, we increased our pace, repurchasing 547,716 additional shares for $100 million at an average price of approximately $182.32 per share. This is exactly how the program is set to work: maximize flexibility to step in when volatility creates opportunity.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u w:val="single"/>
        </w:rPr>
      </w:pPr>
      <w:r>
        <w:rPr>
          <w:rFonts w:ascii="Times New Roman;serif" w:hAnsi="Times New Roman;serif"/>
          <w:b/>
          <w:color w:val="000000"/>
          <w:sz w:val="24"/>
          <w:u w:val="single"/>
        </w:rPr>
        <w:t>Closing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During the second quarter, we were able to move quickly to take advantage of an elevated oil pricing environment. Our operations team demonstrated why they are the best in the business, putting us in an advantaged position to bring forward material value on our differentiated asset base. We were able to generate significant Free Cash Flow, allocate it appropriately and continue to create stockholder value for you, the owners of the Company.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As always, we are grateful for the trust you have placed in us and thank you for your interest in Diamondback Energy.</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Kaes Van't Hof</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Executive Officer and Director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Investor Contact: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Adam Lawlis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+1 432.221.7467</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alawlis@diamondbackenergy.com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Forward-Looking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This letter contains “forward-looking statements” within the meaning of Section 27A of the Securities Act and Section 21E of the Exchange Act, which involve risks, uncertainties, and assumptions. All statements, other than statements of historical fact, including statements regarding Diamondback’s: future performance; business strategy; future operations (including drilling plans and capital plans); estimates and projections of revenues, losses, costs, expenses, returns, cash flow, and financial position; reserve estimates and its ability to replace or increase reserves; anticipated benefits or other effects of strategic transactions (including the Double Eagle acquisition and the Sitio acquisition completed by Diamondback's subsidiary, Viper Energy, Inc. (“Viper”), and other acquisitions, divestitures or reorganizations); and plans and objectives of management (including plans for future cash flow from operations and for executing environmental strategies) are forward-looking statements. When used in this letter, the words “aim,” “anticipate,” “believe,” “continue,” “could,” “estimate,” “expect,” “forecast,” “future,” “guidance,” “intend,” “may,” “model,” “outlook,” “plan,” “positioned,” “potential,” “predict,” “project,” “seek,” “should,” “target,” “will,” “would,” and similar expressions (including the negative of such terms) as they relate to Diamondback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Accordingly, forward-looking statements are not guarantees of future performance and Diamondback’s actual outcomes could differ materially from what Diamondback has expressed in its forward-looking statements.</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Factors that could cause the outcomes to differ materially include (but are not limited to) the following: geopolitics and market conditions, including changes in supply and demand levels for oil, natural gas and natural gas liquids and the resulting impact on the price for those commodities; changes in U.S. energy, environmental, monetary and trade policies, including with respect to tariffs or other trade barriers and any resulting trade tensions; actions taken by the members of OPEC and its non-OPEC allies (OPEC+) affecting the production and pricing of oil, as well as other domestic and global political, economic, or diplomatic developments; changes in general economic, business or industry conditions, including changes in foreign currency exchange rates, interest rates, inflation rates, and instability in the financial sector; regional supply and demand factors, including delays, curtailment delays or interruptions of production, or governmental orders, rules or regulations that impose production limits; federal and state legislative and regulatory initiatives relating to hydraulic fracturing, including the effect of existing and future laws and governmental regulations; physical and transition risks relating to climate change, changing political and social perspectives on climate change and other environmental, social and governance factors, and risks from our publicly disclosed targets related to sustainability and emissions reduction initiatives; challenges in developing our existing leasehold acreage and finding, developing or acquiring additional reserves; restrictions on the use of water, including limits on the use of produced water and a moratorium on new produced water disposal well permits recently imposed by the Texas Railroad Commission in an effort to control induced seismicity in the Permian Basin; significant declines in prices for oil, natural gas, or natural gas liquids, which could require recognition of significant impairment charges; conditions in the capital, financial and credit markets, including the availability and pricing of capital for acquisitions, exploration and development operations; challenges with employee retention and an increasingly competitive labor market; changes in availability or cost of rigs, equipment, raw materials, supplies and oilfield services; changes in safety, health, environmental, tax and other regulations or requirements (including those addressing air emissions, water management, or the impact of global climate change); security threats, including cybersecurity threats and disruptions to our business and operations from breaches of our information technology systems, or from breaches of information technology systems of third parties with whom we transact business; lack of, or disruption in, access to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adequate and reliable electrical power, internet and telecommunication infrastructure, information and computer systems, transportation, processing, storage and other facilities for our oil, natural gas and natural gas liquids; failures or delays in achieving expected reserve or production levels from existing and future oil and natural gas developments, including due to operating hazards, drilling risks, or the inherent uncertainties in predicting reserve and reservoir performance; inability to keep pace with technological developments in our industry; failure to meet our obligations under our oil purchase contracts; loss of one or more customers or their inability to meet their obligations; geographical concentration of our primary operations; risks from our return of capital commitment, and uncertainties over our future dividends and share repurchases; difficulty in obtaining necessary approvals and permits; severe weather conditions and natural disasters; changes in the financial strength of counterparties to our credit facilities and hedging contracts; our substantial indebtedness and restrictions to our operating and financial flexibility; changes in our credit rating; failure to identify, complete and successfully integrate acquisitions, including Viper’s Riverbend acquisition, the Double Eagle acquisition and Viper’s Sitio acquisition; the Endeavor stockholders’ ability to significantly influence our business and potential conflicts of interest; and other risks described in Part I, Item 1A of Diamondback’s Annual Report on Form 10-K, filed with the SEC on February 25, 2026, and those risks disclosed in its subsequent filings on Forms 10-Q and 8-K, which can be obtained free of charge on the SEC’s website at http://www.sec.gov and Diamondback’s website at www.diamondbackenergy.com/investors.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light of these factors, the events anticipated by Diamondback’s forward-looking statements may not occur at the time anticipated or at all. Moreover, Diamondback operates in a very competitive and rapidly changing environment and new risks emerge from time to time. Diamondback cannot predict all risks, nor 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All forward-looking statements speak only as of the date of this letter or, if earlier, as of the date they were made. Diamondback does not intend to, and disclaims any obligation to, update or revise any forward-looking statements unless required by applicable law.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Non-GAAP Financial Measures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letter includes financial information not prepared in conformity with generally accepted accounting principles (GAAP), such as Free Cash Flow, Free Cash Flow per share, Adjusted Free Cash Flow, and net debt. The non-GAAP information should be considered by the reader in addition to, but not instead of, financial information prepared in accordance with GAAP. A reconciliation of the differences between these non-GAAP financial measures and the most directly comparable GAAP financial measures can be found in Diamondback's quarterly results, which are posted on Diamondback's website at www.diamondbackenergy.com/investors and included as Exhibit 99.1 to the Current Report on Form 8-K filed by Diamondback with the SEC that also includes this letter as Exhibit 99.2. Furthermore, this letter includes or references certain forward-looking, non-GAAP financial measures. Because Diamondback provides these measures on a forward-looking basis, it cannot reliably or reasonably predict certain of the necessary components of the most directly comparable forward-looking GAAP financial measures, such as future impairments and future changes in working capital. Accordingly, Diamondback is unable to present a quantitative reconciliation of such forward-looking, non-GAAP financial measures to the respective most directly comparable forward-looking GAAP financial measures. Diamondback believes that these forward-looking, non-GAAP measures may be a useful tool for the investment community in comparing Diamondback's forecasted financial performance to the forecasted financial performance of other companies in the industry.</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9897</Words>
  <Characters>55672</Characters>
  <CharactersWithSpaces>64637</CharactersWithSpaces>
  <Paragraphs>1548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