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7621104.xml.htm"/>
      <w:bookmarkStart w:id="1" w:name="kswkform4_17576211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Barkmann Albert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WEST TEXAS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MIDLAND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Diamondback Energy, Inc.</w:t>
              </w:r>
            </w:hyperlink>
            <w:r>
              <w:rPr/>
              <w:t xml:space="preserve"> [ </w:t>
            </w:r>
            <w:r>
              <w:rPr>
                <w:rFonts w:ascii="Times;serif" w:hAnsi="Times;serif"/>
                <w:color w:val="0000FF"/>
                <w:sz w:val="24"/>
                <w:shd w:fill="FFFFFF" w:val="clear"/>
              </w:rPr>
              <w:t>FANG</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 VP and Chief Engineer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09/10/2025</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682</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136.29</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25,168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issuer withheld shares of common stock that would have otherwise been issuable to the reporting person to satisfy the issuer's tax withholding obligations in connection with the vesting and settlement on September 10, 2025 of the first tranche of the time-based restricted stock units granted to the reporting person on September 10, 2024. The number of shares of common stock withheld was determined based on the closing price per share of the issuer's common stock on September 9,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Teresa L. Dick, as attorney-in-fact for Albert Barkmann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2976" TargetMode="External"/><Relationship Id="rId5" Type="http://schemas.openxmlformats.org/officeDocument/2006/relationships/hyperlink" Target="http://www.sec.gov/cgi-bin/browse-edgar?action=getcompany&amp;CIK=00015398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650</Words>
  <Characters>3507</Characters>
  <CharactersWithSpaces>4096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