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WEXFORD CAPITAL LP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Diamondback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FANG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146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
                <w:szCs w:val="2"/>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6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6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4"/>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10"/>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411 WEST PUTNAM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Arial" w:cs="Arial" w:eastAsia="Arial" w:hAnsi="Arial"/>
                <w:sz w:val="18"/>
                <w:szCs w:val="18"/>
                <w:color w:val="0000FF"/>
              </w:rPr>
              <w:t>02/27/2014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SUITE 125</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5"/>
                <w:szCs w:val="5"/>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480" w:type="dxa"/>
            <w:vAlign w:val="bottom"/>
          </w:tcPr>
          <w:p>
            <w:pPr>
              <w:spacing w:after="0"/>
              <w:rPr>
                <w:sz w:val="13"/>
                <w:szCs w:val="13"/>
                <w:color w:val="auto"/>
              </w:rPr>
            </w:pPr>
          </w:p>
        </w:tc>
        <w:tc>
          <w:tcPr>
            <w:tcW w:w="34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4"/>
          </w:tcPr>
          <w:p>
            <w:pPr>
              <w:ind w:left="80"/>
              <w:spacing w:after="0" w:line="121" w:lineRule="exact"/>
              <w:rPr>
                <w:sz w:val="20"/>
                <w:szCs w:val="20"/>
                <w:color w:val="auto"/>
              </w:rPr>
            </w:pPr>
            <w:r>
              <w:rPr>
                <w:rFonts w:ascii="Arial" w:cs="Arial" w:eastAsia="Arial" w:hAnsi="Arial"/>
                <w:sz w:val="14"/>
                <w:szCs w:val="14"/>
                <w:color w:val="auto"/>
              </w:rPr>
              <w:t>Line)</w:t>
            </w:r>
          </w:p>
        </w:tc>
        <w:tc>
          <w:tcPr>
            <w:tcW w:w="3000" w:type="dxa"/>
            <w:vAlign w:val="bottom"/>
            <w:gridSpan w:val="7"/>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GREENWICH   CT</w:t>
            </w:r>
          </w:p>
        </w:tc>
        <w:tc>
          <w:tcPr>
            <w:tcW w:w="1200" w:type="dxa"/>
            <w:vAlign w:val="bottom"/>
          </w:tcPr>
          <w:p>
            <w:pPr>
              <w:spacing w:after="0"/>
              <w:rPr>
                <w:sz w:val="20"/>
                <w:szCs w:val="20"/>
                <w:color w:val="auto"/>
              </w:rPr>
            </w:pPr>
            <w:r>
              <w:rPr>
                <w:rFonts w:ascii="Arial" w:cs="Arial" w:eastAsia="Arial" w:hAnsi="Arial"/>
                <w:sz w:val="18"/>
                <w:szCs w:val="18"/>
                <w:color w:val="0000FF"/>
              </w:rPr>
              <w:t>06830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3000" w:type="dxa"/>
            <w:vAlign w:val="bottom"/>
            <w:gridSpan w:val="7"/>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4"/>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5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4"/>
          </w:tcPr>
          <w:p>
            <w:pPr>
              <w:ind w:left="4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center"/>
              <w:ind w:right="159"/>
              <w:spacing w:after="0"/>
              <w:rPr>
                <w:sz w:val="20"/>
                <w:szCs w:val="20"/>
                <w:color w:val="auto"/>
              </w:rPr>
            </w:pPr>
            <w:r>
              <w:rPr>
                <w:rFonts w:ascii="Arial" w:cs="Arial" w:eastAsia="Arial" w:hAnsi="Arial"/>
                <w:sz w:val="18"/>
                <w:szCs w:val="18"/>
                <w:color w:val="0000FF"/>
                <w:w w:val="88"/>
              </w:rPr>
              <w:t>6,666</w:t>
            </w:r>
          </w:p>
        </w:tc>
        <w:tc>
          <w:tcPr>
            <w:tcW w:w="36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340" w:type="dxa"/>
            <w:vAlign w:val="bottom"/>
            <w:gridSpan w:val="3"/>
            <w:vMerge w:val="restart"/>
          </w:tcPr>
          <w:p>
            <w:pPr>
              <w:ind w:left="520"/>
              <w:spacing w:after="0"/>
              <w:rPr>
                <w:sz w:val="20"/>
                <w:szCs w:val="20"/>
                <w:color w:val="auto"/>
              </w:rPr>
            </w:pPr>
            <w:r>
              <w:rPr>
                <w:rFonts w:ascii="Arial" w:cs="Arial" w:eastAsia="Arial" w:hAnsi="Arial"/>
                <w:sz w:val="18"/>
                <w:szCs w:val="18"/>
                <w:color w:val="0000FF"/>
                <w:w w:val="88"/>
              </w:rPr>
              <w:t>02/27/2014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22"/>
                <w:szCs w:val="22"/>
                <w:color w:val="auto"/>
              </w:rPr>
            </w:pP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0000FF"/>
                <w:w w:val="82"/>
              </w:rPr>
              <w:t>50,000</w:t>
            </w:r>
            <w:r>
              <w:rPr>
                <w:rFonts w:ascii="Arial" w:cs="Arial" w:eastAsia="Arial" w:hAnsi="Arial"/>
                <w:sz w:val="22"/>
                <w:szCs w:val="22"/>
                <w:color w:val="008000"/>
                <w:w w:val="82"/>
                <w:vertAlign w:val="superscript"/>
              </w:rPr>
              <w:t>(1)</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700" w:type="dxa"/>
            <w:vAlign w:val="bottom"/>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64.5238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vMerge w:val="restart"/>
          </w:tcPr>
          <w:p>
            <w:pPr>
              <w:jc w:val="center"/>
              <w:ind w:right="139"/>
              <w:spacing w:after="0"/>
              <w:rPr>
                <w:sz w:val="20"/>
                <w:szCs w:val="20"/>
                <w:color w:val="auto"/>
              </w:rPr>
            </w:pPr>
            <w:r>
              <w:rPr>
                <w:rFonts w:ascii="Arial" w:cs="Arial" w:eastAsia="Arial" w:hAnsi="Arial"/>
                <w:sz w:val="18"/>
                <w:szCs w:val="18"/>
                <w:color w:val="0000FF"/>
                <w:w w:val="86"/>
              </w:rPr>
              <w:t>10,521,836</w:t>
            </w:r>
          </w:p>
        </w:tc>
        <w:tc>
          <w:tcPr>
            <w:tcW w:w="36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340" w:type="dxa"/>
            <w:vAlign w:val="bottom"/>
            <w:tcBorders>
              <w:top w:val="single" w:sz="8" w:color="2C2C2C"/>
            </w:tcBorders>
            <w:gridSpan w:val="3"/>
            <w:vMerge w:val="restart"/>
          </w:tcPr>
          <w:p>
            <w:pPr>
              <w:ind w:left="520"/>
              <w:spacing w:after="0"/>
              <w:rPr>
                <w:sz w:val="20"/>
                <w:szCs w:val="20"/>
                <w:color w:val="auto"/>
              </w:rPr>
            </w:pPr>
            <w:r>
              <w:rPr>
                <w:rFonts w:ascii="Arial" w:cs="Arial" w:eastAsia="Arial" w:hAnsi="Arial"/>
                <w:sz w:val="18"/>
                <w:szCs w:val="18"/>
                <w:color w:val="0000FF"/>
                <w:w w:val="88"/>
              </w:rPr>
              <w:t>02/28/2014</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8"/>
                <w:szCs w:val="18"/>
                <w:color w:val="0000FF"/>
                <w:w w:val="82"/>
              </w:rPr>
              <w:t>2,500</w:t>
            </w:r>
            <w:r>
              <w:rPr>
                <w:rFonts w:ascii="Arial" w:cs="Arial" w:eastAsia="Arial" w:hAnsi="Arial"/>
                <w:sz w:val="22"/>
                <w:szCs w:val="22"/>
                <w:color w:val="008000"/>
                <w:w w:val="82"/>
                <w:vertAlign w:val="superscript"/>
              </w:rPr>
              <w:t>(1)</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70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64.5029</w:t>
            </w: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39"/>
              <w:spacing w:after="0"/>
              <w:rPr>
                <w:sz w:val="20"/>
                <w:szCs w:val="20"/>
                <w:color w:val="auto"/>
              </w:rPr>
            </w:pPr>
            <w:r>
              <w:rPr>
                <w:rFonts w:ascii="Arial" w:cs="Arial" w:eastAsia="Arial" w:hAnsi="Arial"/>
                <w:sz w:val="18"/>
                <w:szCs w:val="18"/>
                <w:color w:val="0000FF"/>
                <w:w w:val="86"/>
              </w:rPr>
              <w:t>10,519,336</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340" w:type="dxa"/>
            <w:vAlign w:val="bottom"/>
            <w:tcBorders>
              <w:top w:val="single" w:sz="8" w:color="2C2C2C"/>
            </w:tcBorders>
            <w:gridSpan w:val="3"/>
            <w:vMerge w:val="restart"/>
          </w:tcPr>
          <w:p>
            <w:pPr>
              <w:ind w:left="520"/>
              <w:spacing w:after="0"/>
              <w:rPr>
                <w:sz w:val="20"/>
                <w:szCs w:val="20"/>
                <w:color w:val="auto"/>
              </w:rPr>
            </w:pPr>
            <w:r>
              <w:rPr>
                <w:rFonts w:ascii="Arial" w:cs="Arial" w:eastAsia="Arial" w:hAnsi="Arial"/>
                <w:sz w:val="18"/>
                <w:szCs w:val="18"/>
                <w:color w:val="0000FF"/>
                <w:w w:val="88"/>
              </w:rPr>
              <w:t>03/03/2014</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8"/>
                <w:szCs w:val="18"/>
                <w:color w:val="0000FF"/>
                <w:w w:val="82"/>
              </w:rPr>
              <w:t>62,108</w:t>
            </w:r>
            <w:r>
              <w:rPr>
                <w:rFonts w:ascii="Arial" w:cs="Arial" w:eastAsia="Arial" w:hAnsi="Arial"/>
                <w:sz w:val="22"/>
                <w:szCs w:val="22"/>
                <w:color w:val="008000"/>
                <w:w w:val="82"/>
                <w:vertAlign w:val="superscript"/>
              </w:rPr>
              <w:t>(1)</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70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64.7324</w:t>
            </w: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39"/>
              <w:spacing w:after="0"/>
              <w:rPr>
                <w:sz w:val="20"/>
                <w:szCs w:val="20"/>
                <w:color w:val="auto"/>
              </w:rPr>
            </w:pPr>
            <w:r>
              <w:rPr>
                <w:rFonts w:ascii="Arial" w:cs="Arial" w:eastAsia="Arial" w:hAnsi="Arial"/>
                <w:sz w:val="18"/>
                <w:szCs w:val="18"/>
                <w:color w:val="0000FF"/>
                <w:w w:val="86"/>
              </w:rPr>
              <w:t>10,457,228</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18"/>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WEXFORD CAPITAL LP</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411 WEST PUTNAM AVENUE</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125</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GREENWICH</w:t>
            </w:r>
          </w:p>
        </w:tc>
        <w:tc>
          <w:tcPr>
            <w:tcW w:w="1100" w:type="dxa"/>
            <w:vAlign w:val="bottom"/>
            <w:gridSpan w:val="3"/>
          </w:tcPr>
          <w:p>
            <w:pPr>
              <w:ind w:left="20"/>
              <w:spacing w:after="0"/>
              <w:rPr>
                <w:sz w:val="20"/>
                <w:szCs w:val="20"/>
                <w:color w:val="auto"/>
              </w:rPr>
            </w:pPr>
            <w:r>
              <w:rPr>
                <w:rFonts w:ascii="Arial" w:cs="Arial" w:eastAsia="Arial" w:hAnsi="Arial"/>
                <w:sz w:val="18"/>
                <w:szCs w:val="18"/>
                <w:color w:val="0000FF"/>
              </w:rPr>
              <w:t>CT</w:t>
            </w:r>
          </w:p>
        </w:tc>
        <w:tc>
          <w:tcPr>
            <w:tcW w:w="1200" w:type="dxa"/>
            <w:vAlign w:val="bottom"/>
          </w:tcPr>
          <w:p>
            <w:pPr>
              <w:ind w:left="380"/>
              <w:spacing w:after="0"/>
              <w:rPr>
                <w:sz w:val="20"/>
                <w:szCs w:val="20"/>
                <w:color w:val="auto"/>
              </w:rPr>
            </w:pPr>
            <w:r>
              <w:rPr>
                <w:rFonts w:ascii="Arial" w:cs="Arial" w:eastAsia="Arial" w:hAnsi="Arial"/>
                <w:sz w:val="18"/>
                <w:szCs w:val="18"/>
                <w:color w:val="0000FF"/>
              </w:rPr>
              <w:t>06830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DB Energy Holdings LLC</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411 WEST PUTNAM AVE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125</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GREENWICH</w:t>
      </w:r>
      <w:r>
        <w:rPr>
          <w:sz w:val="20"/>
          <w:szCs w:val="20"/>
          <w:color w:val="auto"/>
        </w:rPr>
        <w:tab/>
      </w:r>
      <w:r>
        <w:rPr>
          <w:rFonts w:ascii="Arial" w:cs="Arial" w:eastAsia="Arial" w:hAnsi="Arial"/>
          <w:sz w:val="18"/>
          <w:szCs w:val="18"/>
          <w:color w:val="0000FF"/>
        </w:rPr>
        <w:t>CT</w:t>
      </w:r>
      <w:r>
        <w:rPr>
          <w:sz w:val="20"/>
          <w:szCs w:val="20"/>
          <w:color w:val="auto"/>
        </w:rPr>
        <w:tab/>
      </w:r>
      <w:r>
        <w:rPr>
          <w:rFonts w:ascii="Arial" w:cs="Arial" w:eastAsia="Arial" w:hAnsi="Arial"/>
          <w:sz w:val="15"/>
          <w:szCs w:val="15"/>
          <w:color w:val="0000FF"/>
        </w:rPr>
        <w:t>06830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DAVIDSON CHARLES E</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C/O WEXFORD CAPITAL LP</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411 WEST PUTNAM AVE.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480" w:type="dxa"/>
            <w:vAlign w:val="bottom"/>
            <w:gridSpan w:val="3"/>
          </w:tcPr>
          <w:p>
            <w:pPr>
              <w:ind w:left="20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06830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JACOBS JOSEPH</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612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561276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C/O WEXFORD CAPITAL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411 WEST PUTNAM AVENUE, SUITE 125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06830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Wexford GP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C/O WEXFORD CAPITAL LP</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SUITE 125</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06830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3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disposed of were held by DB Energy Holdings LLC ("DB Energy"), Wexford Catalyst Fund, L.P. ("WCF"), Wexford Spectrum Fund, L.P. ("WSF"), Spectrum Intermediate Fund Limited ("SIF") and Catalyst Intermediate Fund Limited ("CIF" and, together with DB Energy, WCF, WSF and SIF, the "Funds").</w:t>
      </w:r>
    </w:p>
    <w:p>
      <w:pPr>
        <w:spacing w:after="0" w:line="30" w:lineRule="exact"/>
        <w:rPr>
          <w:rFonts w:ascii="Arial" w:cs="Arial" w:eastAsia="Arial" w:hAnsi="Arial"/>
          <w:sz w:val="14"/>
          <w:szCs w:val="14"/>
          <w:color w:val="008000"/>
        </w:rPr>
      </w:pPr>
    </w:p>
    <w:p>
      <w:pPr>
        <w:jc w:val="both"/>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is jointly filed by Wexford Capital LP ("Wexford"), Charles E. Davidson ("Davidson"), Joseph M. Jacobs ("Jacobs"), Wexford GP LLC ("Wexford GP") and DB Energy. The common stock shown as beneficially owned by Davidson, Jacobs, Wexford GP and Wexford reflect common stock owned of record by the Funds. Wexford serves as manager, investment advisor or sub advisor of each of the Funds, and as such may be deemed to share beneficial ownership of the securities beneficially owned by the Funds. Wexford GP, as the general partner of Wexford, may be deemed to share beneficial ownership of the securities beneficially owned by the Funds. (continued under Footnote (3) below).</w:t>
      </w:r>
    </w:p>
    <w:p>
      <w:pPr>
        <w:spacing w:after="0" w:line="31"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from Footnote (2) above) Davidson and Jacobs, as the controlling persons of Wexford GP, may be deemed to share beneficial ownership of any securities beneficially owned by the Funds for which Wexford serves as manager, investment advisor or sub advisor. Each of the Reporting Persons and each of the Funds disclaims beneficial ownership of the securities reported herein, except to the extent of his or its actual pecuniary interest therein.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Wexford Capital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Wexford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3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partner By: Arthur Amron,</w:t>
      </w:r>
      <w:r>
        <w:rPr>
          <w:sz w:val="20"/>
          <w:szCs w:val="20"/>
          <w:color w:val="auto"/>
        </w:rPr>
        <w:tab/>
      </w:r>
      <w:r>
        <w:rPr>
          <w:rFonts w:ascii="Arial" w:cs="Arial" w:eastAsia="Arial" w:hAnsi="Arial"/>
          <w:sz w:val="15"/>
          <w:szCs w:val="15"/>
          <w:color w:val="0000FF"/>
        </w:rPr>
        <w:t>03/03/2014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Vice 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1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719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21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Wexford GP LLC, By: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Amron, Vice President and</w:t>
      </w:r>
      <w:r>
        <w:rPr>
          <w:sz w:val="20"/>
          <w:szCs w:val="20"/>
          <w:color w:val="auto"/>
        </w:rPr>
        <w:tab/>
      </w:r>
      <w:r>
        <w:rPr>
          <w:rFonts w:ascii="Arial" w:cs="Arial" w:eastAsia="Arial" w:hAnsi="Arial"/>
          <w:sz w:val="15"/>
          <w:szCs w:val="15"/>
          <w:color w:val="0000FF"/>
        </w:rPr>
        <w:t>03/03/2014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ectPr>
          <w:pgSz w:w="11900" w:h="16838" w:orient="portrait"/>
          <w:cols w:equalWidth="0" w:num="1">
            <w:col w:w="11320"/>
          </w:cols>
          <w:pgMar w:left="260" w:top="140" w:right="319" w:bottom="1440" w:gutter="0" w:footer="0" w:header="0"/>
        </w:sectPr>
      </w:pP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DB Energy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665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Arthur Amron,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Charles 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19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Joseph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3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51"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1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0000FF"/>
        </w:rPr>
        <w:t>03/03/2014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03/03/2014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03/03/2014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40"/>
            <w:col w:w="2180"/>
          </w:cols>
          <w:pgMar w:left="260" w:top="140" w:right="3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2" Type="http://schemas.openxmlformats.org/officeDocument/2006/relationships/hyperlink" Target="http://www.sec.gov/cgi-bin/browse-edgar?action=getcompany&amp;CIK=0001048462" TargetMode="External"/><Relationship Id="rId13" Type="http://schemas.openxmlformats.org/officeDocument/2006/relationships/hyperlink" Target="http://www.sec.gov/cgi-bin/browse-edgar?action=getcompany&amp;CIK=0001539838" TargetMode="External"/><Relationship Id="rId14" Type="http://schemas.openxmlformats.org/officeDocument/2006/relationships/hyperlink" Target="http://www.sec.gov/cgi-bin/browse-edgar?action=getcompany&amp;CIK=0001559894" TargetMode="External"/><Relationship Id="rId15" Type="http://schemas.openxmlformats.org/officeDocument/2006/relationships/hyperlink" Target="http://www.sec.gov/cgi-bin/browse-edgar?action=getcompany&amp;CIK=0001001391" TargetMode="External"/><Relationship Id="rId16" Type="http://schemas.openxmlformats.org/officeDocument/2006/relationships/hyperlink" Target="http://www.sec.gov/cgi-bin/browse-edgar?action=getcompany&amp;CIK=0001048485" TargetMode="External"/><Relationship Id="rId18" Type="http://schemas.openxmlformats.org/officeDocument/2006/relationships/hyperlink" Target="http://www.sec.gov/cgi-bin/browse-edgar?action=getcompany&amp;CIK=0001472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2019-12-17T05:52:45Z</dcterms:created>
  <dcterms:modified xsi:type="dcterms:W3CDTF">2019-12-17T05:52:45Z</dcterms:modified>
</cp:coreProperties>
</file>