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600d1_8k.htm"/>
      <w:bookmarkStart w:id="1" w:name="kstm2626600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6092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September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A_edei--EntityRegistrantName_c2026"/>
      <w:bookmarkEnd w:id="4"/>
      <w:r>
        <w:rPr>
          <w:rFonts w:ascii="Times New Roman;Times;Serif" w:hAnsi="Times New Roman;Times;Serif"/>
          <w:b/>
          <w:i w:val="false"/>
          <w:caps w:val="false"/>
          <w:smallCaps w:val="false"/>
          <w:sz w:val="28"/>
        </w:rPr>
        <w:t xml:space="preserve">DIAMONDBACK ENERGY,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(Exact Name of Registrant as Specified in Charter) </w:t>
      </w:r>
    </w:p>
    <w:p>
      <w:pPr>
        <w:pStyle w:val="TextBody"/>
        <w:bidi w:val="0"/>
        <w:spacing w:before="0" w:after="0"/>
        <w:ind w:left="0" w:right="0" w:hanging="0"/>
        <w:jc w:val="left"/>
        <w:rPr>
          <w:caps w:val="false"/>
          <w:smallCaps w:val="false"/>
        </w:rPr>
      </w:pPr>
      <w:r>
        <w:rPr>
          <w:caps w:val="false"/>
          <w:smallCaps w:val="false"/>
        </w:rPr>
        <w:t> </w:t>
      </w:r>
    </w:p>
    <w:tbl>
      <w:tblPr>
        <w:tblW w:w="6285" w:type="dxa"/>
        <w:jc w:val="left"/>
        <w:tblInd w:w="0" w:type="dxa"/>
        <w:tblLayout w:type="fixed"/>
        <w:tblCellMar>
          <w:top w:w="0" w:type="dxa"/>
          <w:left w:w="0" w:type="dxa"/>
          <w:bottom w:w="0" w:type="dxa"/>
          <w:right w:w="0" w:type="dxa"/>
        </w:tblCellMar>
      </w:tblPr>
      <w:tblGrid>
        <w:gridCol w:w="2420"/>
        <w:gridCol w:w="60"/>
        <w:gridCol w:w="2210"/>
        <w:gridCol w:w="60"/>
        <w:gridCol w:w="1535"/>
      </w:tblGrid>
      <w:tr>
        <w:trPr/>
        <w:tc>
          <w:tcPr>
            <w:tcW w:w="24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DE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1_edei--EntityFileNumber_c20260929"/>
            <w:bookmarkEnd w:id="6"/>
            <w:r>
              <w:rPr>
                <w:rFonts w:ascii="Times New Roman;Times;Serif" w:hAnsi="Times New Roman;Times;Serif"/>
                <w:b/>
                <w:i w:val="false"/>
                <w:caps w:val="false"/>
                <w:smallCaps w:val="false"/>
                <w:sz w:val="20"/>
              </w:rPr>
              <w:t>001-35700</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F_edei--EntityTaxIdentificationNum"/>
            <w:bookmarkEnd w:id="7"/>
            <w:r>
              <w:rPr>
                <w:rFonts w:ascii="Times New Roman;Times;Serif" w:hAnsi="Times New Roman;Times;Serif"/>
                <w:b/>
                <w:i w:val="false"/>
                <w:caps w:val="false"/>
                <w:smallCaps w:val="false"/>
                <w:sz w:val="20"/>
              </w:rPr>
              <w:t>45-4502447</w:t>
            </w:r>
          </w:p>
        </w:tc>
      </w:tr>
      <w:tr>
        <w:trPr/>
        <w:tc>
          <w:tcPr>
            <w:tcW w:w="242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283"/>
        <w:jc w:val="left"/>
        <w:rPr/>
      </w:pPr>
      <w:r>
        <w:rPr/>
        <w:t> </w:t>
      </w:r>
    </w:p>
    <w:tbl>
      <w:tblPr>
        <w:tblW w:w="2770" w:type="dxa"/>
        <w:jc w:val="left"/>
        <w:tblInd w:w="0" w:type="dxa"/>
        <w:tblLayout w:type="fixed"/>
        <w:tblCellMar>
          <w:top w:w="0" w:type="dxa"/>
          <w:left w:w="0" w:type="dxa"/>
          <w:bottom w:w="0" w:type="dxa"/>
          <w:right w:w="0" w:type="dxa"/>
        </w:tblCellMar>
      </w:tblPr>
      <w:tblGrid>
        <w:gridCol w:w="1790"/>
        <w:gridCol w:w="60"/>
        <w:gridCol w:w="920"/>
      </w:tblGrid>
      <w:tr>
        <w:trPr/>
        <w:tc>
          <w:tcPr>
            <w:tcW w:w="17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500 West Texas Ave.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A_edei--EntityAddressAddressLine2_"/>
            <w:bookmarkEnd w:id="9"/>
            <w:r>
              <w:rPr>
                <w:rFonts w:ascii="Times New Roman;Times;Serif" w:hAnsi="Times New Roman;Times;Serif"/>
                <w:b/>
                <w:i w:val="false"/>
                <w:caps w:val="false"/>
                <w:smallCaps w:val="false"/>
                <w:sz w:val="20"/>
              </w:rPr>
              <w:t>Suite 100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5_edei--EntityAddressCityOrTown_c2"/>
            <w:bookmarkEnd w:id="10"/>
            <w:r>
              <w:rPr>
                <w:rFonts w:ascii="Times New Roman;Times;Serif" w:hAnsi="Times New Roman;Times;Serif"/>
                <w:b/>
                <w:i w:val="false"/>
                <w:caps w:val="false"/>
                <w:smallCaps w:val="false"/>
                <w:sz w:val="20"/>
              </w:rPr>
              <w:t xml:space="preserve">Midland, </w:t>
            </w:r>
            <w:bookmarkStart w:id="11" w:name="xdx_90D_edei--EntityAddressStateOrProvin"/>
            <w:bookmarkEnd w:id="11"/>
            <w:r>
              <w:rPr>
                <w:rFonts w:ascii="Times New Roman;Times;Serif" w:hAnsi="Times New Roman;Times;Serif"/>
                <w:b/>
                <w:i w:val="false"/>
                <w:caps w:val="false"/>
                <w:smallCaps w:val="false"/>
                <w:sz w:val="20"/>
              </w:rPr>
              <w:t xml:space="preserve">TX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9_edei--EntityAddressPostalZipCode"/>
            <w:bookmarkEnd w:id="12"/>
            <w:r>
              <w:rPr>
                <w:rFonts w:ascii="Times New Roman;Times;Serif" w:hAnsi="Times New Roman;Times;Serif"/>
                <w:b/>
                <w:i w:val="false"/>
                <w:caps w:val="false"/>
                <w:smallCaps w:val="false"/>
                <w:sz w:val="20"/>
              </w:rPr>
              <w:t>79701</w:t>
            </w:r>
          </w:p>
        </w:tc>
      </w:tr>
      <w:tr>
        <w:trPr/>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of principal </w:t>
              <w:br/>
              <w:t>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9_edei--CityAreaCode_c20260929__20"/>
      <w:bookmarkEnd w:id="13"/>
      <w:r>
        <w:rPr>
          <w:rFonts w:ascii="Times New Roman;Times;Serif" w:hAnsi="Times New Roman;Times;Serif"/>
          <w:b/>
          <w:i w:val="false"/>
          <w:caps w:val="false"/>
          <w:smallCaps w:val="false"/>
          <w:sz w:val="20"/>
        </w:rPr>
        <w:t xml:space="preserve">432) </w:t>
      </w:r>
      <w:bookmarkStart w:id="14" w:name="xdx_905_edei--LocalPhoneNumber_c20260929"/>
      <w:bookmarkEnd w:id="14"/>
      <w:r>
        <w:rPr>
          <w:rFonts w:ascii="Times New Roman;Times;Serif" w:hAnsi="Times New Roman;Times;Serif"/>
          <w:b/>
          <w:i w:val="false"/>
          <w:caps w:val="false"/>
          <w:smallCaps w:val="false"/>
          <w:sz w:val="20"/>
        </w:rPr>
        <w:t>221-7400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 Applicable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bookmarkStart w:id="15" w:name="xdx_901_edei--WrittenCommunications_c202"/>
      <w:bookmarkEnd w:id="15"/>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xml:space="preserve"> Written communications pursuant to Rule 425 under the Securities Act (17 CFR 230.425)</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bookmarkStart w:id="16" w:name="xdx_90E_edei--SolicitingMaterial_c202609"/>
      <w:bookmarkEnd w:id="16"/>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xml:space="preserve"> Soliciting material pursuant to Rule 14a-12 under the Exchange Act (17 CFR 240.14a-12)</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bookmarkStart w:id="17" w:name="xdx_906_edei--PreCommencementTenderOffer"/>
      <w:bookmarkEnd w:id="17"/>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xml:space="preserve"> 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bookmarkStart w:id="18" w:name="xdx_906_edei--PreCommencementIssuerTende"/>
      <w:bookmarkEnd w:id="18"/>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xml:space="preserve"> Pre-commencement communications pursuant to Rule 13e-4(c) under the Exchange Act (17 CFR 240.13e-4(c))</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Securities Exchange Act of 1934:</w:t>
      </w:r>
    </w:p>
    <w:p>
      <w:pPr>
        <w:pStyle w:val="TextBody"/>
        <w:bidi w:val="0"/>
        <w:spacing w:before="0" w:after="0"/>
        <w:ind w:left="0" w:right="0" w:hanging="0"/>
        <w:jc w:val="center"/>
        <w:rPr>
          <w:caps w:val="false"/>
          <w:smallCaps w:val="false"/>
        </w:rPr>
      </w:pPr>
      <w:r>
        <w:rPr>
          <w:caps w:val="false"/>
          <w:smallCaps w:val="false"/>
        </w:rPr>
        <w:t> </w:t>
      </w:r>
    </w:p>
    <w:tbl>
      <w:tblPr>
        <w:tblW w:w="8895" w:type="dxa"/>
        <w:jc w:val="left"/>
        <w:tblInd w:w="0" w:type="dxa"/>
        <w:tblLayout w:type="fixed"/>
        <w:tblCellMar>
          <w:top w:w="0" w:type="dxa"/>
          <w:left w:w="0" w:type="dxa"/>
          <w:bottom w:w="0" w:type="dxa"/>
          <w:right w:w="0" w:type="dxa"/>
        </w:tblCellMar>
      </w:tblPr>
      <w:tblGrid>
        <w:gridCol w:w="3455"/>
        <w:gridCol w:w="60"/>
        <w:gridCol w:w="1610"/>
        <w:gridCol w:w="60"/>
        <w:gridCol w:w="3710"/>
      </w:tblGrid>
      <w:tr>
        <w:trPr/>
        <w:tc>
          <w:tcPr>
            <w:tcW w:w="34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E_edei--Security12bTitle_c20260929"/>
            <w:bookmarkEnd w:id="19"/>
            <w:r>
              <w:rPr>
                <w:rFonts w:ascii="Times New Roman;Times;Serif" w:hAnsi="Times New Roman;Times;Serif"/>
                <w:b w:val="false"/>
                <w:i w:val="false"/>
                <w:caps w:val="false"/>
                <w:smallCaps w:val="false"/>
                <w:sz w:val="20"/>
              </w:rPr>
              <w:t xml:space="preserve">Common Stock, par value $0.01 per share </w:t>
            </w:r>
          </w:p>
        </w:tc>
        <w:tc>
          <w:tcPr>
            <w:tcW w:w="60" w:type="dxa"/>
            <w:tcBorders/>
            <w:vAlign w:val="center"/>
          </w:tcPr>
          <w:p>
            <w:pPr>
              <w:pStyle w:val="TableContents"/>
              <w:bidi w:val="0"/>
              <w:spacing w:before="0" w:after="283"/>
              <w:jc w:val="center"/>
              <w:rPr/>
            </w:pPr>
            <w:r>
              <w:rPr/>
              <w:t> </w:t>
            </w:r>
          </w:p>
        </w:tc>
        <w:tc>
          <w:tcPr>
            <w:tcW w:w="16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6_edei--TradingSymbol_c20260929__2"/>
            <w:bookmarkEnd w:id="20"/>
            <w:r>
              <w:rPr>
                <w:rFonts w:ascii="Times New Roman;Times;Serif" w:hAnsi="Times New Roman;Times;Serif"/>
                <w:b w:val="false"/>
                <w:i w:val="false"/>
                <w:caps w:val="false"/>
                <w:smallCaps w:val="false"/>
                <w:sz w:val="20"/>
              </w:rPr>
              <w:t>FANG</w:t>
            </w:r>
          </w:p>
        </w:tc>
        <w:tc>
          <w:tcPr>
            <w:tcW w:w="60" w:type="dxa"/>
            <w:tcBorders/>
            <w:vAlign w:val="center"/>
          </w:tcPr>
          <w:p>
            <w:pPr>
              <w:pStyle w:val="TableContents"/>
              <w:bidi w:val="0"/>
              <w:spacing w:before="0" w:after="283"/>
              <w:jc w:val="center"/>
              <w:rPr/>
            </w:pPr>
            <w:r>
              <w:rPr/>
              <w:t> </w:t>
            </w:r>
          </w:p>
        </w:tc>
        <w:tc>
          <w:tcPr>
            <w:tcW w:w="3710" w:type="dxa"/>
            <w:tcBorders/>
            <w:vAlign w:val="center"/>
          </w:tcPr>
          <w:p>
            <w:pPr>
              <w:pStyle w:val="TableContents"/>
              <w:bidi w:val="0"/>
              <w:jc w:val="center"/>
              <w:rPr>
                <w:rFonts w:ascii="Times New Roman;Times;Serif" w:hAnsi="Times New Roman;Times;Serif"/>
                <w:b w:val="false"/>
                <w:i w:val="false"/>
                <w:caps w:val="false"/>
                <w:smallCaps w:val="false"/>
                <w:sz w:val="20"/>
              </w:rPr>
            </w:pPr>
            <w:bookmarkStart w:id="21" w:name="xdx_90F_edei--SecurityExchangeName_c2026"/>
            <w:bookmarkEnd w:id="21"/>
            <w:r>
              <w:rPr>
                <w:rFonts w:ascii="Times New Roman;Times;Serif" w:hAnsi="Times New Roman;Times;Serif"/>
                <w:b w:val="false"/>
                <w:i w:val="false"/>
                <w:caps w:val="false"/>
                <w:smallCaps w:val="false"/>
                <w:sz w:val="20"/>
              </w:rPr>
              <w:t>The Nasdaq Stock Market LLC</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0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2026, Diamondback Energy, Inc. (the “Company”) and SGF FANG Holdings, LP entered into the First Amendment (the “Amendment”) to the Stockholders Agreement, dated as of September 10, 2024 (as amended, supplemented or joined from time to time, the “Stockholders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provides, among other things, that the Stephens Majority (as defined in the Stockholders Agreement) is entitled to designate (x) two directors to the board of directors of the Company (the “Board”) if the Stephens Stockholders (as defined in the Stockholders Agreement), in the aggregate, beneficially own at least 10% but less than 25% of the Outstanding Shares (as defined in the Stockholders Agreement), and (y) no directors to the Board if the Stephens Stockholders beneficially own less than 10% of the Outstanding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Amendment is filed as Exhibit 10.1 to this Current Report on Form 8-K and is incorporated by reference herein. The foregoing description of the Amendment does not purport to be complete and is qualified in its entirety by reference to such Exhibit.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 Board Stepdown (as defined in the Stockholders Agreement), and not due to any disagreement with the Company on any matter relating to the Company’s operations, policies or practices, Darin Holderness and Lance Robertson resigned from the Board on September 29, 2026 and September 30, 2026,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00"/>
        <w:gridCol w:w="60"/>
        <w:gridCol w:w="8745"/>
      </w:tblGrid>
      <w:tr>
        <w:trPr/>
        <w:tc>
          <w:tcPr>
            <w:tcW w:w="140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874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400" w:type="dxa"/>
            <w:tcBorders/>
            <w:shd w:fill="CCEEFF" w:val="clear"/>
            <w:tcMar>
              <w:bottom w:w="0" w:type="dxa"/>
            </w:tcMar>
            <w:vAlign w:val="center"/>
          </w:tcPr>
          <w:p>
            <w:pPr>
              <w:pStyle w:val="TableContents"/>
              <w:bidi w:val="0"/>
              <w:spacing w:before="0" w:after="283"/>
              <w:jc w:val="center"/>
              <w:rPr/>
            </w:pPr>
            <w:hyperlink w:anchor="tm2626600d1_ex10-1.htm">
              <w:r>
                <w:rPr>
                  <w:rStyle w:val="InternetLink"/>
                  <w:rFonts w:ascii="Times New Roman;Times;Serif" w:hAnsi="Times New Roman;Times;Serif"/>
                  <w:sz w:val="20"/>
                </w:rPr>
                <w:t>10.1*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745" w:type="dxa"/>
            <w:tcBorders/>
            <w:shd w:fill="CCEEFF" w:val="clear"/>
            <w:tcMar>
              <w:bottom w:w="0" w:type="dxa"/>
            </w:tcMar>
            <w:vAlign w:val="center"/>
          </w:tcPr>
          <w:p>
            <w:pPr>
              <w:pStyle w:val="TableContents"/>
              <w:bidi w:val="0"/>
              <w:spacing w:before="0" w:after="283"/>
              <w:jc w:val="left"/>
              <w:rPr/>
            </w:pPr>
            <w:hyperlink w:anchor="tm2626600d1_ex10-1.htm">
              <w:r>
                <w:rPr>
                  <w:rStyle w:val="InternetLink"/>
                  <w:rFonts w:ascii="Times New Roman;Times;Serif" w:hAnsi="Times New Roman;Times;Serif"/>
                  <w:sz w:val="20"/>
                </w:rPr>
                <w:t>First Amendment to Stockholders Agreement, dated as of September 29, 2026, by and between Diamondback Energy, Inc. and SGF FANG Holdings, LP.</w:t>
              </w:r>
            </w:hyperlink>
          </w:p>
        </w:tc>
      </w:tr>
      <w:tr>
        <w:trPr/>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information in this exhibit has been redacted pursuant to Item 601(a)(6)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765" w:type="dxa"/>
        <w:jc w:val="left"/>
        <w:tblInd w:w="0" w:type="dxa"/>
        <w:tblLayout w:type="fixed"/>
        <w:tblCellMar>
          <w:top w:w="0" w:type="dxa"/>
          <w:left w:w="0" w:type="dxa"/>
          <w:bottom w:w="0" w:type="dxa"/>
          <w:right w:w="0" w:type="dxa"/>
        </w:tblCellMar>
      </w:tblPr>
      <w:tblGrid>
        <w:gridCol w:w="470"/>
        <w:gridCol w:w="1640"/>
        <w:gridCol w:w="545"/>
        <w:gridCol w:w="6110"/>
      </w:tblGrid>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66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DIAMONDBACK ENERGY, INC.</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30, 2026</w:t>
            </w:r>
          </w:p>
        </w:tc>
        <w:tc>
          <w:tcPr>
            <w:tcW w:w="545"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1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Teresa L. Dick</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Teresa L. Dick</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110" w:type="dxa"/>
            <w:tcBorders/>
            <w:vAlign w:val="center"/>
          </w:tcPr>
          <w:p>
            <w:pPr>
              <w:pStyle w:val="TableContents"/>
              <w:bidi w:val="0"/>
              <w:spacing w:before="0" w:after="283"/>
              <w:jc w:val="left"/>
              <w:rPr/>
            </w:pPr>
            <w:r>
              <w:rPr/>
              <w:t>Executive Vice President of Accounting and Assistant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6600d1_ex10-1.htm"/>
      <w:bookmarkStart w:id="24" w:name="kstm2626600d1_ex101"/>
      <w:bookmarkEnd w:id="23"/>
      <w:bookmarkEnd w:id="24"/>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FIRST AMENDMENT TO STOCKHOLDERS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First Amendment to the Stockholders Agreement dated as of September 29, 2026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is entered into by and between Diamondback Energy,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SGF FANG Holdings, LP (“</w:t>
      </w:r>
      <w:r>
        <w:rPr>
          <w:rFonts w:ascii="Times New Roman;Times;Serif" w:hAnsi="Times New Roman;Times;Serif"/>
          <w:b w:val="false"/>
          <w:i w:val="false"/>
          <w:caps w:val="false"/>
          <w:smallCaps w:val="false"/>
          <w:sz w:val="20"/>
          <w:u w:val="single"/>
        </w:rPr>
        <w:t>SGF FANG Holdings</w:t>
      </w:r>
      <w:r>
        <w:rPr>
          <w:rFonts w:ascii="Times New Roman;Times;Serif" w:hAnsi="Times New Roman;Times;Serif"/>
          <w:b w:val="false"/>
          <w:i w:val="false"/>
          <w:caps w:val="false"/>
          <w:smallCaps w:val="false"/>
          <w:sz w:val="20"/>
        </w:rPr>
        <w:t>”). Capitalized terms used and not otherwise defined herein have the meanings given to such terms in the Stockholders Agreement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Initial Stephens Stockholders entered into that certain Stockholders Agreement, dated as of September 10, 2024 (the “</w:t>
      </w:r>
      <w:r>
        <w:rPr>
          <w:rFonts w:ascii="Times New Roman;Times;Serif" w:hAnsi="Times New Roman;Times;Serif"/>
          <w:b w:val="false"/>
          <w:i w:val="false"/>
          <w:caps w:val="false"/>
          <w:smallCaps w:val="false"/>
          <w:sz w:val="20"/>
          <w:u w:val="single"/>
        </w:rPr>
        <w:t>Stockholders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SGF FANG Holdings became a Stephens Stockholder pursuant to a joinder agreement entered into in accordance with the Stockholders Agreement (the “</w:t>
      </w:r>
      <w:r>
        <w:rPr>
          <w:rFonts w:ascii="Times New Roman;Times;Serif" w:hAnsi="Times New Roman;Times;Serif"/>
          <w:b w:val="false"/>
          <w:i w:val="false"/>
          <w:caps w:val="false"/>
          <w:smallCaps w:val="false"/>
          <w:sz w:val="20"/>
          <w:u w:val="single"/>
        </w:rPr>
        <w:t>Joinder</w:t>
      </w:r>
      <w:r>
        <w:rPr>
          <w:rFonts w:ascii="Times New Roman;Times;Serif" w:hAnsi="Times New Roman;Times;Serif"/>
          <w:b w:val="false"/>
          <w:i w:val="false"/>
          <w:caps w:val="false"/>
          <w:smallCaps w:val="false"/>
          <w:sz w:val="20"/>
        </w:rPr>
        <w:t>”) and, as of the date hereof, holds a majority of the Voting Securities held by all Stephens Stockholders and therefore constitutes the Stephens Majority;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of the Stockholders Agreement provides that the Stockholders Agreement may be amended by a written instrument executed by the Company and the Stephens Majority;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Stephens Majority desire to amend the Stockholders Agreement as set forth herein to, among other things, modify the number of individuals that the Stephens Majority is entitled to designate to the Board at specified Beneficial Ownership thresholds.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other good and valuable consideration, the receipt and sufficiency of which are hereby acknowledged, the undersigned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Amendment to Section 2.1(b)</w:t>
      </w:r>
      <w:r>
        <w:rPr>
          <w:rFonts w:ascii="Times New Roman;Times;Serif" w:hAnsi="Times New Roman;Times;Serif"/>
          <w:b w:val="false"/>
          <w:i w:val="false"/>
          <w:caps w:val="false"/>
          <w:smallCaps w:val="false"/>
          <w:sz w:val="20"/>
        </w:rPr>
        <w:t>. Section 2.1(b) is hereby deleted in its entirety and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(b)        Notwithstanding the foregoing provisions of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the number of individuals that the Stephens Majority is entitled to designate to serve as Directors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shall be permanently reduced to: (i) two (2) Directors if, at any time, the Stephens Stockholders, in the aggregate, Beneficially Own at least 10% of the Outstanding Shares but less than 25% of the Outstanding Shares; and (ii) no Directors if, at any time, the Stephens Stockholders, in the aggregate, Beneficially Own less than 10% of the Outstanding Shares. Any step-down reductions in the number of individuals that the Stephens Majority is entitled to designate to serve as Directors pursuant to the immediately preceding sentence is referred to in any such case hereinafter as the “</w:t>
      </w:r>
      <w:r>
        <w:rPr>
          <w:rFonts w:ascii="Times New Roman;Times;Serif" w:hAnsi="Times New Roman;Times;Serif"/>
          <w:b w:val="false"/>
          <w:i w:val="false"/>
          <w:caps w:val="false"/>
          <w:smallCaps w:val="false"/>
          <w:sz w:val="20"/>
          <w:u w:val="single"/>
        </w:rPr>
        <w:t>Board Stepdown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Amendment to Section 7.2</w:t>
      </w:r>
      <w:r>
        <w:rPr>
          <w:rFonts w:ascii="Times New Roman;Times;Serif" w:hAnsi="Times New Roman;Times;Serif"/>
          <w:b w:val="false"/>
          <w:i w:val="false"/>
          <w:caps w:val="false"/>
          <w:smallCaps w:val="false"/>
          <w:sz w:val="20"/>
        </w:rPr>
        <w:t>. Section 7.2 is hereby amended by deleting the notice information set forth therein and replacing such notice information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if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Diamondback Energy, Inc.</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West Texas Ave., Suite 100</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Midland, TX 79701</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Kaes Van’t Hof, Chief Executive Officer</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(not constituting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Latham &amp; Watkins LLP</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1271 Avenue of the Americas</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10020</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Zachary S. Podolsky; Ryan J. Lynch</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Zachary.Podolsky@lw.com; Ryan.Lynch@lw.com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Stephens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SGF FANG Holdings, LP</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8111 Douglas Ave., Suite 1200</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TX 75225</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Kevin T. Keen</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(not constituting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Gibson, Dunn &amp; Crutcher LLP</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 Main Street, Suite 3000</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 77002</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Hillary Holmes</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hholmes@gibsondunn.com”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Effectiveness of this Amendment</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7.15</w:t>
      </w:r>
      <w:r>
        <w:rPr>
          <w:rFonts w:ascii="Times New Roman;Times;Serif" w:hAnsi="Times New Roman;Times;Serif"/>
          <w:b w:val="false"/>
          <w:i w:val="false"/>
          <w:caps w:val="false"/>
          <w:smallCaps w:val="false"/>
          <w:sz w:val="20"/>
        </w:rPr>
        <w:t xml:space="preserve"> of the Stockholders Agreement, this Amendment will become effective and binding upon the Company and the Stephens Stockholders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Effect of the Amendment</w:t>
      </w:r>
      <w:r>
        <w:rPr>
          <w:rFonts w:ascii="Times New Roman;Times;Serif" w:hAnsi="Times New Roman;Times;Serif"/>
          <w:b w:val="false"/>
          <w:i w:val="false"/>
          <w:caps w:val="false"/>
          <w:smallCaps w:val="false"/>
          <w:sz w:val="20"/>
        </w:rPr>
        <w:t>. Except as expressly amended hereby, the Stockholders Agreement is hereby ratified and confirmed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Amendment shall be governed by and construed in accordance with the Laws of the State of Delaware, without regard to principles of conflicts of Laws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Amendment, together with the Stockholders Agreement and the Joinder, sets forth the entire understanding of the parties hereto with respect to the subject matter hereof. There are no agreements, representations, warranties, covenants or understandings with respect to the subject matter hereof other than those expressly set forth herein or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Amendment, or the application of such provision to any Person or circumstance or in any jurisdiction, shall be held to be invalid or unenforceable to any extent, (i) the remainder of this Amendment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Amendment may be executed in any number of counterparts, each of which will be deemed an original, but all of which will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Amendment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3409" w:type="dxa"/>
        <w:jc w:val="left"/>
        <w:tblInd w:w="0" w:type="dxa"/>
        <w:tblLayout w:type="fixed"/>
        <w:tblCellMar>
          <w:top w:w="0" w:type="dxa"/>
          <w:left w:w="0" w:type="dxa"/>
          <w:bottom w:w="0" w:type="dxa"/>
          <w:right w:w="0" w:type="dxa"/>
        </w:tblCellMar>
      </w:tblPr>
      <w:tblGrid>
        <w:gridCol w:w="75"/>
        <w:gridCol w:w="453"/>
        <w:gridCol w:w="2881"/>
      </w:tblGrid>
      <w:tr>
        <w:trPr/>
        <w:tc>
          <w:tcPr>
            <w:tcW w:w="75" w:type="dxa"/>
            <w:tcBorders/>
            <w:vAlign w:val="center"/>
          </w:tcPr>
          <w:p>
            <w:pPr>
              <w:pStyle w:val="TableContents"/>
              <w:bidi w:val="0"/>
              <w:spacing w:before="0" w:after="283"/>
              <w:jc w:val="left"/>
              <w:rPr/>
            </w:pPr>
            <w:r>
              <w:rPr/>
              <w:t> </w:t>
            </w:r>
          </w:p>
        </w:tc>
        <w:tc>
          <w:tcPr>
            <w:tcW w:w="33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w:t>
            </w:r>
          </w:p>
        </w:tc>
      </w:tr>
      <w:tr>
        <w:trPr/>
        <w:tc>
          <w:tcPr>
            <w:tcW w:w="75" w:type="dxa"/>
            <w:tcBorders/>
            <w:vAlign w:val="center"/>
          </w:tcPr>
          <w:p>
            <w:pPr>
              <w:pStyle w:val="TableContents"/>
              <w:bidi w:val="0"/>
              <w:spacing w:before="0" w:after="283"/>
              <w:jc w:val="left"/>
              <w:rPr/>
            </w:pPr>
            <w:r>
              <w:rPr/>
              <w:t> </w:t>
            </w:r>
          </w:p>
        </w:tc>
        <w:tc>
          <w:tcPr>
            <w:tcW w:w="33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3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DIAMONDBACK ENERGY, INC.</w:t>
            </w:r>
          </w:p>
        </w:tc>
      </w:tr>
      <w:tr>
        <w:trPr/>
        <w:tc>
          <w:tcPr>
            <w:tcW w:w="75" w:type="dxa"/>
            <w:tcBorders/>
            <w:vAlign w:val="center"/>
          </w:tcPr>
          <w:p>
            <w:pPr>
              <w:pStyle w:val="TableContents"/>
              <w:bidi w:val="0"/>
              <w:spacing w:before="0" w:after="283"/>
              <w:jc w:val="left"/>
              <w:rPr/>
            </w:pPr>
            <w:r>
              <w:rPr/>
              <w:t> </w:t>
            </w:r>
          </w:p>
        </w:tc>
        <w:tc>
          <w:tcPr>
            <w:tcW w:w="33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8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Kaes Van’t Hof</w:t>
            </w:r>
          </w:p>
        </w:tc>
      </w:tr>
      <w:tr>
        <w:trPr/>
        <w:tc>
          <w:tcPr>
            <w:tcW w:w="75" w:type="dxa"/>
            <w:tcBorders/>
            <w:vAlign w:val="center"/>
          </w:tcPr>
          <w:p>
            <w:pPr>
              <w:pStyle w:val="TableContents"/>
              <w:bidi w:val="0"/>
              <w:spacing w:before="0" w:after="283"/>
              <w:jc w:val="left"/>
              <w:rPr/>
            </w:pPr>
            <w:r>
              <w:rPr/>
              <w:t> </w:t>
            </w:r>
          </w:p>
        </w:tc>
        <w:tc>
          <w:tcPr>
            <w:tcW w:w="33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Kaes Van’t Hof</w:t>
            </w:r>
          </w:p>
        </w:tc>
      </w:tr>
      <w:tr>
        <w:trPr/>
        <w:tc>
          <w:tcPr>
            <w:tcW w:w="75" w:type="dxa"/>
            <w:tcBorders/>
            <w:vAlign w:val="center"/>
          </w:tcPr>
          <w:p>
            <w:pPr>
              <w:pStyle w:val="TableContents"/>
              <w:bidi w:val="0"/>
              <w:spacing w:before="0" w:after="283"/>
              <w:jc w:val="left"/>
              <w:rPr/>
            </w:pPr>
            <w:r>
              <w:rPr/>
              <w:t> </w:t>
            </w:r>
          </w:p>
        </w:tc>
        <w:tc>
          <w:tcPr>
            <w:tcW w:w="33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r>
        <w:trPr/>
        <w:tc>
          <w:tcPr>
            <w:tcW w:w="75" w:type="dxa"/>
            <w:tcBorders/>
            <w:vAlign w:val="center"/>
          </w:tcPr>
          <w:p>
            <w:pPr>
              <w:pStyle w:val="TableContents"/>
              <w:bidi w:val="0"/>
              <w:spacing w:before="0" w:after="283"/>
              <w:jc w:val="left"/>
              <w:rPr/>
            </w:pPr>
            <w:r>
              <w:rPr/>
              <w:t> </w:t>
            </w:r>
          </w:p>
        </w:tc>
        <w:tc>
          <w:tcPr>
            <w:tcW w:w="33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3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STEPHENS MAJORITY:</w:t>
            </w:r>
          </w:p>
        </w:tc>
      </w:tr>
      <w:tr>
        <w:trPr/>
        <w:tc>
          <w:tcPr>
            <w:tcW w:w="75" w:type="dxa"/>
            <w:tcBorders/>
            <w:vAlign w:val="center"/>
          </w:tcPr>
          <w:p>
            <w:pPr>
              <w:pStyle w:val="TableContents"/>
              <w:bidi w:val="0"/>
              <w:spacing w:before="0" w:after="283"/>
              <w:jc w:val="left"/>
              <w:rPr/>
            </w:pPr>
            <w:r>
              <w:rPr/>
              <w:t> </w:t>
            </w:r>
          </w:p>
        </w:tc>
        <w:tc>
          <w:tcPr>
            <w:tcW w:w="33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3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SGF FANG HOLDINGS, LP</w:t>
            </w:r>
          </w:p>
        </w:tc>
      </w:tr>
      <w:tr>
        <w:trPr/>
        <w:tc>
          <w:tcPr>
            <w:tcW w:w="75" w:type="dxa"/>
            <w:tcBorders/>
            <w:vAlign w:val="center"/>
          </w:tcPr>
          <w:p>
            <w:pPr>
              <w:pStyle w:val="TableContents"/>
              <w:bidi w:val="0"/>
              <w:spacing w:before="0" w:after="283"/>
              <w:jc w:val="left"/>
              <w:rPr/>
            </w:pPr>
            <w:r>
              <w:rPr/>
              <w:t> </w:t>
            </w:r>
          </w:p>
        </w:tc>
        <w:tc>
          <w:tcPr>
            <w:tcW w:w="33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3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SGF Capital LLC, its general partner</w:t>
            </w:r>
          </w:p>
        </w:tc>
      </w:tr>
      <w:tr>
        <w:trPr/>
        <w:tc>
          <w:tcPr>
            <w:tcW w:w="75" w:type="dxa"/>
            <w:tcBorders/>
            <w:vAlign w:val="center"/>
          </w:tcPr>
          <w:p>
            <w:pPr>
              <w:pStyle w:val="TableContents"/>
              <w:bidi w:val="0"/>
              <w:spacing w:before="0" w:after="283"/>
              <w:jc w:val="left"/>
              <w:rPr/>
            </w:pPr>
            <w:r>
              <w:rPr/>
              <w:t> </w:t>
            </w:r>
          </w:p>
        </w:tc>
        <w:tc>
          <w:tcPr>
            <w:tcW w:w="33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8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Kevin T. Keen             </w:t>
            </w:r>
          </w:p>
        </w:tc>
      </w:tr>
      <w:tr>
        <w:trPr/>
        <w:tc>
          <w:tcPr>
            <w:tcW w:w="75" w:type="dxa"/>
            <w:tcBorders/>
            <w:vAlign w:val="center"/>
          </w:tcPr>
          <w:p>
            <w:pPr>
              <w:pStyle w:val="TableContents"/>
              <w:bidi w:val="0"/>
              <w:spacing w:before="0" w:after="283"/>
              <w:jc w:val="left"/>
              <w:rPr/>
            </w:pPr>
            <w:r>
              <w:rPr/>
              <w:t> </w:t>
            </w:r>
          </w:p>
        </w:tc>
        <w:tc>
          <w:tcPr>
            <w:tcW w:w="33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Kevin T. Keen</w:t>
            </w:r>
          </w:p>
        </w:tc>
      </w:tr>
      <w:tr>
        <w:trPr/>
        <w:tc>
          <w:tcPr>
            <w:tcW w:w="75" w:type="dxa"/>
            <w:tcBorders/>
            <w:vAlign w:val="center"/>
          </w:tcPr>
          <w:p>
            <w:pPr>
              <w:pStyle w:val="TableContents"/>
              <w:bidi w:val="0"/>
              <w:spacing w:before="0" w:after="283"/>
              <w:jc w:val="left"/>
              <w:rPr/>
            </w:pPr>
            <w:r>
              <w:rPr/>
              <w:t> </w:t>
            </w:r>
          </w:p>
        </w:tc>
        <w:tc>
          <w:tcPr>
            <w:tcW w:w="33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COO &amp;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First Amendment to Stockholders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1548</Words>
  <Characters>8491</Characters>
  <CharactersWithSpaces>10174</CharactersWithSpaces>
  <Paragraphs>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