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SGF FANG Holdings, LP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SGF CAPITAL LLC, KEVIN T. KEEN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8111 DOUGLAS AVE., SUITE 1200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Diamondback Energy,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FANG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33"/>
        <w:gridCol w:w="900"/>
        <w:gridCol w:w="772"/>
        <w:gridCol w:w="597"/>
        <w:gridCol w:w="336"/>
        <w:gridCol w:w="1132"/>
        <w:gridCol w:w="420"/>
        <w:gridCol w:w="829"/>
        <w:gridCol w:w="1327"/>
        <w:gridCol w:w="955"/>
        <w:gridCol w:w="90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8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9,079,675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205.26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64,957,047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2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082"/>
      </w:tblGrid>
      <w:tr>
        <w:trPr/>
        <w:tc>
          <w:tcPr>
            <w:tcW w:w="4082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8">
                    <w:r>
                      <w:rPr>
                        <w:rStyle w:val="InternetLink"/>
                      </w:rPr>
                      <w:t>SGF FANG Holdings, LP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SGF CAPITAL LLC, KEVIN T. KEEN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8111 DOUGLAS AVE., SUITE 1200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9">
                    <w:r>
                      <w:rPr>
                        <w:rStyle w:val="InternetLink"/>
                      </w:rPr>
                      <w:t>Greth Lyndal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SGF CAPITAL LLC, KEVIN T. KEEN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8111 DOUGLAS AVENUE, SUITE 1200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September 16, 2026, SGF FANG Holdings, LP, a Delaware limited partnership, sold 9,079,675 shares of common stock of Diamondback Energy, Inc., par value $0.01 per share, pursuant to Rule 144 under the Securities Act of 1933, as amended.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T. Keen,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0063" TargetMode="External"/><Relationship Id="rId5" Type="http://schemas.openxmlformats.org/officeDocument/2006/relationships/hyperlink" Target="http://www.sec.gov/cgi-bin/browse-edgar?action=getcompany&amp;CIK=00015398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hyperlink" Target="http://www.sec.gov/cgi-bin/browse-edgar?action=getcompany&amp;CIK=0002080063" TargetMode="External"/><Relationship Id="rId9" Type="http://schemas.openxmlformats.org/officeDocument/2006/relationships/hyperlink" Target="http://www.sec.gov/cgi-bin/browse-edgar?action=getcompany&amp;CIK=0002021141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676</Words>
  <Characters>3626</Characters>
  <CharactersWithSpaces>4207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