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No. 333-192099</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4"/>
                <w:szCs w:val="14"/>
                <w:b w:val="1"/>
                <w:bCs w:val="1"/>
                <w:color w:val="auto"/>
                <w:w w:val="87"/>
              </w:rPr>
              <w:t>Proposed Maximum</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0"/>
              <w:spacing w:after="0" w:line="135"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vMerge w:val="continue"/>
          </w:tcPr>
          <w:p>
            <w:pPr>
              <w:spacing w:after="0"/>
              <w:rPr>
                <w:sz w:val="11"/>
                <w:szCs w:val="11"/>
                <w:color w:val="auto"/>
              </w:rPr>
            </w:pPr>
          </w:p>
        </w:tc>
        <w:tc>
          <w:tcPr>
            <w:tcW w:w="1560" w:type="dxa"/>
            <w:vAlign w:val="bottom"/>
          </w:tcPr>
          <w:p>
            <w:pPr>
              <w:jc w:val="center"/>
              <w:ind w:left="27"/>
              <w:spacing w:after="0" w:line="135"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Title of each Class of</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5"/>
              </w:rPr>
              <w:t>Aggregate Price</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4"/>
              </w:rPr>
              <w:t>To Be Registered(1)</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5"/>
              </w:rPr>
              <w:t>Per Share</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9"/>
              </w:rPr>
              <w:t>Offering Price(1)</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7"/>
              </w:rPr>
              <w:t>Fee(2)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6,325,000</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$87.2375</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8"/>
                <w:szCs w:val="18"/>
                <w:color w:val="auto"/>
                <w:w w:val="87"/>
              </w:rPr>
              <w:t>$551,777,187.5</w:t>
            </w:r>
          </w:p>
        </w:tc>
        <w:tc>
          <w:tcPr>
            <w:tcW w:w="1560" w:type="dxa"/>
            <w:vAlign w:val="bottom"/>
            <w:tcBorders>
              <w:bottom w:val="single" w:sz="8" w:color="auto"/>
            </w:tcBorders>
          </w:tcPr>
          <w:p>
            <w:pPr>
              <w:jc w:val="right"/>
              <w:ind w:right="387"/>
              <w:spacing w:after="0"/>
              <w:rPr>
                <w:sz w:val="20"/>
                <w:szCs w:val="20"/>
                <w:color w:val="auto"/>
              </w:rPr>
            </w:pPr>
            <w:r>
              <w:rPr>
                <w:rFonts w:ascii="Arial" w:cs="Arial" w:eastAsia="Arial" w:hAnsi="Arial"/>
                <w:sz w:val="18"/>
                <w:szCs w:val="18"/>
                <w:color w:val="auto"/>
              </w:rPr>
              <w:t>$55,564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Assumes exercise in full of the underwriters’ option to purchase up to an aggregate of 825,000 additional shares of common stock from the registrant.</w:t>
      </w:r>
    </w:p>
    <w:p>
      <w:pPr>
        <w:spacing w:after="0" w:line="38" w:lineRule="exact"/>
        <w:rPr>
          <w:rFonts w:ascii="Arial" w:cs="Arial" w:eastAsia="Arial" w:hAnsi="Arial"/>
          <w:sz w:val="16"/>
          <w:szCs w:val="16"/>
          <w:color w:val="auto"/>
        </w:rPr>
      </w:pPr>
    </w:p>
    <w:p>
      <w:pPr>
        <w:ind w:left="460" w:right="80" w:hanging="452"/>
        <w:spacing w:after="0" w:line="295"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in accordance with Rule 457(r) under the Securities Act of 1933, as amended. Payment of the registration fee at the time of filing of the registrant’s registration statement on Form S-3ASR with the Securities and Exchange Commission on November 5, 2013 (File No. 333-192099) was deferred (with respect to the securities to be sold by the Company) pursuant to Rules 456(b) and 457(r) under the Securities Act, and is paid herewith. This “Calculation of Registration Fee” table shall be deemed to update the “Calculation of Registration Fee” table in such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TO PROSPECTUS DATED NOVEMBER 5,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152400</wp:posOffset>
            </wp:positionV>
            <wp:extent cx="242697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Diamondback Energy,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203200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offering 5,500,000 shares of our common stock.</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“FANG.” The last reported sales price of our common stock on the NASDAQ Global Select Market on July 12, 2016 was $91.96 per share.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the underwriters an option to purchase a maximum of 825,000 additional shares of our common stock at the price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197485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1">
        <w:r>
          <w:rPr>
            <w:rFonts w:ascii="Arial" w:cs="Arial" w:eastAsia="Arial" w:hAnsi="Arial"/>
            <w:sz w:val="22"/>
            <w:szCs w:val="22"/>
            <w:b w:val="1"/>
            <w:bCs w:val="1"/>
            <w:i w:val="1"/>
            <w:iCs w:val="1"/>
            <w:u w:val="single" w:color="auto"/>
            <w:color w:val="0000FF"/>
          </w:rPr>
          <w:t>Risk Factors</w:t>
        </w:r>
      </w:hyperlink>
      <w:r>
        <w:rPr>
          <w:rFonts w:ascii="Arial" w:cs="Arial" w:eastAsia="Arial" w:hAnsi="Arial"/>
          <w:sz w:val="22"/>
          <w:szCs w:val="22"/>
          <w:b w:val="1"/>
          <w:bCs w:val="1"/>
          <w:color w:val="auto"/>
        </w:rPr>
        <w:t>” beginning on page 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191135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underwriters have agreed to purchase the shares of common stock from us at a price of $87.2375 per share, which will result in approximately $479.8 million of net proceeds to us before offering expenses.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underwriters propose to offer the shares of common stock from time to time for sale in one or more transactions on the NASDAQ Global Select Market, in the over-the-counter market, through negotiated transactions or otherwise at market prices prevailing at the time of sale, at prices related to prevailing market prices or at negotiated prices. See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that delivery of the shares will be made on or about July 18, 2016 through the book-entry facilities of the Depository Trust Company.</w:t>
      </w:r>
    </w:p>
    <w:p>
      <w:pPr>
        <w:spacing w:after="0" w:line="188"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125095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89"/>
              </w:rPr>
              <w:t>Joint Book-Running Managers</w:t>
            </w:r>
          </w:p>
        </w:tc>
        <w:tc>
          <w:tcPr>
            <w:tcW w:w="3420" w:type="dxa"/>
            <w:vAlign w:val="bottom"/>
          </w:tcPr>
          <w:p>
            <w:pPr>
              <w:spacing w:after="0"/>
              <w:rPr>
                <w:sz w:val="19"/>
                <w:szCs w:val="19"/>
                <w:color w:val="auto"/>
              </w:rPr>
            </w:pPr>
          </w:p>
        </w:tc>
      </w:tr>
      <w:tr>
        <w:trPr>
          <w:trHeight w:val="336"/>
        </w:trPr>
        <w:tc>
          <w:tcPr>
            <w:tcW w:w="3420" w:type="dxa"/>
            <w:vAlign w:val="bottom"/>
          </w:tcPr>
          <w:p>
            <w:pPr>
              <w:spacing w:after="0"/>
              <w:rPr>
                <w:sz w:val="20"/>
                <w:szCs w:val="20"/>
                <w:color w:val="auto"/>
              </w:rPr>
            </w:pPr>
            <w:r>
              <w:rPr>
                <w:rFonts w:ascii="Arial" w:cs="Arial" w:eastAsia="Arial" w:hAnsi="Arial"/>
                <w:sz w:val="22"/>
                <w:szCs w:val="22"/>
                <w:b w:val="1"/>
                <w:bCs w:val="1"/>
                <w:color w:val="auto"/>
              </w:rPr>
              <w:t>Credit Suisse</w:t>
            </w:r>
          </w:p>
        </w:tc>
        <w:tc>
          <w:tcPr>
            <w:tcW w:w="458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Goldman, Sachs &amp; Co.</w:t>
            </w:r>
          </w:p>
        </w:tc>
        <w:tc>
          <w:tcPr>
            <w:tcW w:w="342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366"/>
        </w:trPr>
        <w:tc>
          <w:tcPr>
            <w:tcW w:w="342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89"/>
              </w:rPr>
              <w:t>Co-Managers</w:t>
            </w:r>
          </w:p>
        </w:tc>
        <w:tc>
          <w:tcPr>
            <w:tcW w:w="3420" w:type="dxa"/>
            <w:vAlign w:val="bottom"/>
          </w:tcPr>
          <w:p>
            <w:pPr>
              <w:spacing w:after="0"/>
              <w:rPr>
                <w:sz w:val="24"/>
                <w:szCs w:val="24"/>
                <w:color w:val="auto"/>
              </w:rPr>
            </w:pPr>
          </w:p>
        </w:tc>
      </w:tr>
      <w:tr>
        <w:trPr>
          <w:trHeight w:val="285"/>
        </w:trPr>
        <w:tc>
          <w:tcPr>
            <w:tcW w:w="3420" w:type="dxa"/>
            <w:vAlign w:val="bottom"/>
          </w:tcPr>
          <w:p>
            <w:pPr>
              <w:spacing w:after="0"/>
              <w:rPr>
                <w:sz w:val="20"/>
                <w:szCs w:val="20"/>
                <w:color w:val="auto"/>
              </w:rPr>
            </w:pPr>
            <w:r>
              <w:rPr>
                <w:rFonts w:ascii="Arial" w:cs="Arial" w:eastAsia="Arial" w:hAnsi="Arial"/>
                <w:sz w:val="18"/>
                <w:szCs w:val="18"/>
                <w:b w:val="1"/>
                <w:bCs w:val="1"/>
                <w:color w:val="auto"/>
              </w:rPr>
              <w:t>Scotia Howard Weil</w:t>
            </w:r>
          </w:p>
        </w:tc>
        <w:tc>
          <w:tcPr>
            <w:tcW w:w="4580" w:type="dxa"/>
            <w:vAlign w:val="bottom"/>
          </w:tcPr>
          <w:p>
            <w:pPr>
              <w:jc w:val="center"/>
              <w:ind w:left="52"/>
              <w:spacing w:after="0"/>
              <w:rPr>
                <w:sz w:val="20"/>
                <w:szCs w:val="20"/>
                <w:color w:val="auto"/>
              </w:rPr>
            </w:pPr>
            <w:r>
              <w:rPr>
                <w:rFonts w:ascii="Arial" w:cs="Arial" w:eastAsia="Arial" w:hAnsi="Arial"/>
                <w:sz w:val="18"/>
                <w:szCs w:val="18"/>
                <w:b w:val="1"/>
                <w:bCs w:val="1"/>
                <w:color w:val="auto"/>
                <w:w w:val="90"/>
              </w:rPr>
              <w:t>Tudor, Pickering, Holt &amp; Co.</w:t>
            </w: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Wells Fargo Securities</w:t>
            </w:r>
          </w:p>
        </w:tc>
      </w:tr>
      <w:tr>
        <w:trPr>
          <w:trHeight w:val="218"/>
        </w:trPr>
        <w:tc>
          <w:tcPr>
            <w:tcW w:w="3420" w:type="dxa"/>
            <w:vAlign w:val="bottom"/>
          </w:tcPr>
          <w:p>
            <w:pPr>
              <w:spacing w:after="0"/>
              <w:rPr>
                <w:sz w:val="20"/>
                <w:szCs w:val="20"/>
                <w:color w:val="auto"/>
              </w:rPr>
            </w:pPr>
            <w:r>
              <w:rPr>
                <w:rFonts w:ascii="Arial" w:cs="Arial" w:eastAsia="Arial" w:hAnsi="Arial"/>
                <w:sz w:val="18"/>
                <w:szCs w:val="18"/>
                <w:b w:val="1"/>
                <w:bCs w:val="1"/>
                <w:color w:val="auto"/>
              </w:rPr>
              <w:t>IBERIA Capital Partners L.L.C.</w:t>
            </w:r>
          </w:p>
        </w:tc>
        <w:tc>
          <w:tcPr>
            <w:tcW w:w="4580" w:type="dxa"/>
            <w:vAlign w:val="bottom"/>
          </w:tcPr>
          <w:p>
            <w:pPr>
              <w:jc w:val="center"/>
              <w:ind w:left="72"/>
              <w:spacing w:after="0"/>
              <w:rPr>
                <w:sz w:val="20"/>
                <w:szCs w:val="20"/>
                <w:color w:val="auto"/>
              </w:rPr>
            </w:pPr>
            <w:r>
              <w:rPr>
                <w:rFonts w:ascii="Arial" w:cs="Arial" w:eastAsia="Arial" w:hAnsi="Arial"/>
                <w:sz w:val="18"/>
                <w:szCs w:val="18"/>
                <w:b w:val="1"/>
                <w:bCs w:val="1"/>
                <w:color w:val="auto"/>
                <w:w w:val="90"/>
              </w:rPr>
              <w:t>Simmons &amp; Company International</w:t>
            </w: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SunTrust Robinson Humphrey</w:t>
            </w:r>
          </w:p>
        </w:tc>
      </w:tr>
      <w:tr>
        <w:trPr>
          <w:trHeight w:val="147"/>
        </w:trPr>
        <w:tc>
          <w:tcPr>
            <w:tcW w:w="3420" w:type="dxa"/>
            <w:vAlign w:val="bottom"/>
          </w:tcPr>
          <w:p>
            <w:pPr>
              <w:spacing w:after="0"/>
              <w:rPr>
                <w:sz w:val="12"/>
                <w:szCs w:val="12"/>
                <w:color w:val="auto"/>
              </w:rPr>
            </w:pPr>
          </w:p>
        </w:tc>
        <w:tc>
          <w:tcPr>
            <w:tcW w:w="4580" w:type="dxa"/>
            <w:vAlign w:val="bottom"/>
          </w:tcPr>
          <w:p>
            <w:pPr>
              <w:jc w:val="center"/>
              <w:ind w:left="52"/>
              <w:spacing w:after="0" w:line="147" w:lineRule="exact"/>
              <w:rPr>
                <w:sz w:val="20"/>
                <w:szCs w:val="20"/>
                <w:color w:val="auto"/>
              </w:rPr>
            </w:pPr>
            <w:r>
              <w:rPr>
                <w:rFonts w:ascii="Arial" w:cs="Arial" w:eastAsia="Arial" w:hAnsi="Arial"/>
                <w:sz w:val="14"/>
                <w:szCs w:val="14"/>
                <w:b w:val="1"/>
                <w:bCs w:val="1"/>
                <w:color w:val="auto"/>
                <w:w w:val="86"/>
              </w:rPr>
              <w:t>Energy Specialists of Piper Jaffray</w:t>
            </w:r>
          </w:p>
        </w:tc>
        <w:tc>
          <w:tcPr>
            <w:tcW w:w="3420" w:type="dxa"/>
            <w:vAlign w:val="bottom"/>
          </w:tcPr>
          <w:p>
            <w:pPr>
              <w:spacing w:after="0"/>
              <w:rPr>
                <w:sz w:val="12"/>
                <w:szCs w:val="12"/>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KeyBanc Capital Markets</w:t>
            </w:r>
          </w:p>
        </w:tc>
        <w:tc>
          <w:tcPr>
            <w:tcW w:w="4580" w:type="dxa"/>
            <w:vAlign w:val="bottom"/>
          </w:tcPr>
          <w:p>
            <w:pPr>
              <w:jc w:val="center"/>
              <w:ind w:left="52"/>
              <w:spacing w:after="0"/>
              <w:rPr>
                <w:sz w:val="20"/>
                <w:szCs w:val="20"/>
                <w:color w:val="auto"/>
              </w:rPr>
            </w:pPr>
            <w:r>
              <w:rPr>
                <w:rFonts w:ascii="Arial" w:cs="Arial" w:eastAsia="Arial" w:hAnsi="Arial"/>
                <w:sz w:val="18"/>
                <w:szCs w:val="18"/>
                <w:b w:val="1"/>
                <w:bCs w:val="1"/>
                <w:color w:val="auto"/>
                <w:w w:val="96"/>
              </w:rPr>
              <w:t>KLR Group, LLC</w:t>
            </w: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Morgan Stanley</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Raymond James</w:t>
            </w:r>
          </w:p>
        </w:tc>
        <w:tc>
          <w:tcPr>
            <w:tcW w:w="4580" w:type="dxa"/>
            <w:vAlign w:val="bottom"/>
          </w:tcPr>
          <w:p>
            <w:pPr>
              <w:jc w:val="center"/>
              <w:ind w:left="52"/>
              <w:spacing w:after="0"/>
              <w:rPr>
                <w:sz w:val="20"/>
                <w:szCs w:val="20"/>
                <w:color w:val="auto"/>
              </w:rPr>
            </w:pPr>
            <w:r>
              <w:rPr>
                <w:rFonts w:ascii="Arial" w:cs="Arial" w:eastAsia="Arial" w:hAnsi="Arial"/>
                <w:sz w:val="18"/>
                <w:szCs w:val="18"/>
                <w:b w:val="1"/>
                <w:bCs w:val="1"/>
                <w:color w:val="auto"/>
                <w:w w:val="87"/>
              </w:rPr>
              <w:t>Capital One Securities</w:t>
            </w: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Johnson Rice &amp; Company L.L.C.</w:t>
            </w:r>
          </w:p>
        </w:tc>
      </w:tr>
      <w:tr>
        <w:trPr>
          <w:trHeight w:val="228"/>
        </w:trPr>
        <w:tc>
          <w:tcPr>
            <w:tcW w:w="3420" w:type="dxa"/>
            <w:vAlign w:val="bottom"/>
          </w:tcPr>
          <w:p>
            <w:pPr>
              <w:ind w:left="2560"/>
              <w:spacing w:after="0"/>
              <w:rPr>
                <w:sz w:val="20"/>
                <w:szCs w:val="20"/>
                <w:color w:val="auto"/>
              </w:rPr>
            </w:pPr>
            <w:r>
              <w:rPr>
                <w:rFonts w:ascii="Arial" w:cs="Arial" w:eastAsia="Arial" w:hAnsi="Arial"/>
                <w:sz w:val="18"/>
                <w:szCs w:val="18"/>
                <w:b w:val="1"/>
                <w:bCs w:val="1"/>
                <w:color w:val="auto"/>
              </w:rPr>
              <w:t>Nomura</w:t>
            </w:r>
          </w:p>
        </w:tc>
        <w:tc>
          <w:tcPr>
            <w:tcW w:w="4580" w:type="dxa"/>
            <w:vAlign w:val="bottom"/>
          </w:tcPr>
          <w:p>
            <w:pPr>
              <w:spacing w:after="0"/>
              <w:rPr>
                <w:sz w:val="19"/>
                <w:szCs w:val="19"/>
                <w:color w:val="auto"/>
              </w:rPr>
            </w:pPr>
          </w:p>
        </w:tc>
        <w:tc>
          <w:tcPr>
            <w:tcW w:w="3420" w:type="dxa"/>
            <w:vAlign w:val="bottom"/>
          </w:tcPr>
          <w:p>
            <w:pPr>
              <w:jc w:val="right"/>
              <w:ind w:right="2209"/>
              <w:spacing w:after="0"/>
              <w:rPr>
                <w:sz w:val="20"/>
                <w:szCs w:val="20"/>
                <w:color w:val="auto"/>
              </w:rPr>
            </w:pPr>
            <w:r>
              <w:rPr>
                <w:rFonts w:ascii="Arial" w:cs="Arial" w:eastAsia="Arial" w:hAnsi="Arial"/>
                <w:sz w:val="18"/>
                <w:szCs w:val="18"/>
                <w:b w:val="1"/>
                <w:bCs w:val="1"/>
                <w:color w:val="auto"/>
              </w:rPr>
              <w:t>Wunderlich</w:t>
            </w:r>
          </w:p>
        </w:tc>
      </w:tr>
      <w:tr>
        <w:trPr>
          <w:trHeight w:val="378"/>
        </w:trPr>
        <w:tc>
          <w:tcPr>
            <w:tcW w:w="342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6"/>
              </w:rPr>
              <w:t>The date of this prospectus supplement is July 13, 2016</w:t>
            </w: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6"/>
              </w:rPr>
              <w:t>TABLE OF CONTENTS</w:t>
            </w: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5"/>
              </w:rPr>
              <w:t>PROSPECTUS SUPPLEMENT</w:t>
            </w:r>
          </w:p>
        </w:tc>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36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ABOUT THIS PROSPECTUS SUPPLEMENT</w:t>
              </w:r>
            </w:hyperlink>
          </w:p>
        </w:tc>
        <w:tc>
          <w:tcPr>
            <w:tcW w:w="4520" w:type="dxa"/>
            <w:vAlign w:val="bottom"/>
            <w:gridSpan w:val="6"/>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PROSPECTUS SUPPLEMENT SUMMARY</w:t>
              </w:r>
            </w:hyperlink>
          </w:p>
        </w:tc>
        <w:tc>
          <w:tcPr>
            <w:tcW w:w="4660" w:type="dxa"/>
            <w:vAlign w:val="bottom"/>
            <w:gridSpan w:val="9"/>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THE OFFERING</w:t>
              </w:r>
            </w:hyperlink>
          </w:p>
        </w:tc>
        <w:tc>
          <w:tcPr>
            <w:tcW w:w="6620" w:type="dxa"/>
            <w:vAlign w:val="bottom"/>
            <w:gridSpan w:val="22"/>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SUMMARY RESERVE DATA</w:t>
              </w:r>
            </w:hyperlink>
          </w:p>
        </w:tc>
        <w:tc>
          <w:tcPr>
            <w:tcW w:w="5660" w:type="dxa"/>
            <w:vAlign w:val="bottom"/>
            <w:gridSpan w:val="13"/>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3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CAUTIONARY NOTE REGARDING FORWARD-LOOKING STATEMENTS</w:t>
              </w:r>
            </w:hyperlink>
          </w:p>
        </w:tc>
        <w:tc>
          <w:tcPr>
            <w:tcW w:w="2220" w:type="dxa"/>
            <w:vAlign w:val="bottom"/>
          </w:tcPr>
          <w:p>
            <w:pPr>
              <w:spacing w:after="0"/>
              <w:rPr>
                <w:sz w:val="17"/>
                <w:szCs w:val="17"/>
                <w:color w:val="auto"/>
              </w:rPr>
            </w:pPr>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USE OF PROCEEDS</w:t>
              </w:r>
            </w:hyperlink>
          </w:p>
        </w:tc>
        <w:tc>
          <w:tcPr>
            <w:tcW w:w="6320" w:type="dxa"/>
            <w:vAlign w:val="bottom"/>
            <w:gridSpan w:val="17"/>
          </w:tcPr>
          <w:p>
            <w:pPr>
              <w:spacing w:after="0"/>
              <w:rPr>
                <w:sz w:val="17"/>
                <w:szCs w:val="17"/>
                <w:color w:val="auto"/>
              </w:rPr>
            </w:pPr>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DIVIDEND POLICY</w:t>
              </w:r>
            </w:hyperlink>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6340" w:type="dxa"/>
            <w:vAlign w:val="bottom"/>
            <w:gridSpan w:val="18"/>
          </w:tcPr>
          <w:p>
            <w:pPr>
              <w:spacing w:after="0"/>
              <w:rPr>
                <w:sz w:val="17"/>
                <w:szCs w:val="17"/>
                <w:color w:val="auto"/>
              </w:rPr>
            </w:pPr>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PRICE RANGE OF COMMON STOCK</w:t>
              </w:r>
            </w:hyperlink>
          </w:p>
        </w:tc>
        <w:tc>
          <w:tcPr>
            <w:tcW w:w="4980" w:type="dxa"/>
            <w:vAlign w:val="bottom"/>
            <w:gridSpan w:val="10"/>
          </w:tcPr>
          <w:p>
            <w:pPr>
              <w:spacing w:after="0"/>
              <w:rPr>
                <w:sz w:val="17"/>
                <w:szCs w:val="17"/>
                <w:color w:val="auto"/>
              </w:rPr>
            </w:pPr>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MATERIAL U.S. FEDERAL INCOME AND ESTATE TAX CONSIDERATIONS FOR NON-U.S. HOLDERS</w:t>
              </w:r>
            </w:hyperlink>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UNDERWRITING</w:t>
              </w:r>
            </w:hyperlink>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EXPERTS</w:t>
              </w:r>
            </w:hyperlink>
          </w:p>
        </w:tc>
        <w:tc>
          <w:tcPr>
            <w:tcW w:w="660" w:type="dxa"/>
            <w:vAlign w:val="bottom"/>
            <w:tcBorders>
              <w:top w:val="single" w:sz="8" w:color="0000EE"/>
            </w:tcBorders>
            <w:gridSpan w:val="7"/>
          </w:tcPr>
          <w:p>
            <w:pPr>
              <w:spacing w:after="0"/>
              <w:rPr>
                <w:sz w:val="17"/>
                <w:szCs w:val="17"/>
                <w:color w:val="auto"/>
              </w:rPr>
            </w:pPr>
          </w:p>
        </w:tc>
        <w:tc>
          <w:tcPr>
            <w:tcW w:w="6460" w:type="dxa"/>
            <w:vAlign w:val="bottom"/>
            <w:gridSpan w:val="20"/>
          </w:tcPr>
          <w:p>
            <w:pPr>
              <w:spacing w:after="0"/>
              <w:rPr>
                <w:sz w:val="17"/>
                <w:szCs w:val="17"/>
                <w:color w:val="auto"/>
              </w:rPr>
            </w:pPr>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INFORMATION INCORPORATED BY REFERENCE</w:t>
              </w:r>
            </w:hyperlink>
          </w:p>
        </w:tc>
        <w:tc>
          <w:tcPr>
            <w:tcW w:w="3940" w:type="dxa"/>
            <w:vAlign w:val="bottom"/>
            <w:gridSpan w:val="3"/>
          </w:tcPr>
          <w:p>
            <w:pPr>
              <w:spacing w:after="0"/>
              <w:rPr>
                <w:sz w:val="17"/>
                <w:szCs w:val="17"/>
                <w:color w:val="auto"/>
              </w:rPr>
            </w:pPr>
          </w:p>
        </w:tc>
        <w:tc>
          <w:tcPr>
            <w:tcW w:w="3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GLOSSARY OF OIL AND NATURAL GAS TERMS</w:t>
              </w:r>
            </w:hyperlink>
          </w:p>
        </w:tc>
        <w:tc>
          <w:tcPr>
            <w:tcW w:w="3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A-1</w:t>
            </w:r>
          </w:p>
        </w:tc>
        <w:tc>
          <w:tcPr>
            <w:tcW w:w="0" w:type="dxa"/>
            <w:vAlign w:val="bottom"/>
          </w:tcPr>
          <w:p>
            <w:pPr>
              <w:spacing w:after="0"/>
              <w:rPr>
                <w:sz w:val="1"/>
                <w:szCs w:val="1"/>
                <w:color w:val="auto"/>
              </w:rPr>
            </w:pPr>
          </w:p>
        </w:tc>
      </w:tr>
      <w:tr>
        <w:trPr>
          <w:trHeight w:val="478"/>
        </w:trPr>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4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93"/>
              </w:rPr>
              <w:t>PROSPECTUS</w:t>
            </w:r>
          </w:p>
        </w:tc>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880" w:type="dxa"/>
            <w:vAlign w:val="bottom"/>
            <w:gridSpan w:val="29"/>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w:t>
              </w:r>
              <w:r>
                <w:rPr>
                  <w:rFonts w:ascii="Arial" w:cs="Arial" w:eastAsia="Arial" w:hAnsi="Arial"/>
                  <w:sz w:val="14"/>
                  <w:szCs w:val="14"/>
                  <w:color w:val="0000EE"/>
                </w:rPr>
                <w:t>BOUT</w:t>
              </w:r>
              <w:r>
                <w:rPr>
                  <w:rFonts w:ascii="Arial" w:cs="Arial" w:eastAsia="Arial" w:hAnsi="Arial"/>
                  <w:sz w:val="18"/>
                  <w:szCs w:val="18"/>
                  <w:color w:val="0000EE"/>
                </w:rPr>
                <w:t xml:space="preserve"> T</w:t>
              </w:r>
              <w:r>
                <w:rPr>
                  <w:rFonts w:ascii="Arial" w:cs="Arial" w:eastAsia="Arial" w:hAnsi="Arial"/>
                  <w:sz w:val="14"/>
                  <w:szCs w:val="14"/>
                  <w:color w:val="0000EE"/>
                </w:rPr>
                <w:t>HIS</w:t>
              </w:r>
              <w:r>
                <w:rPr>
                  <w:rFonts w:ascii="Arial" w:cs="Arial" w:eastAsia="Arial" w:hAnsi="Arial"/>
                  <w:sz w:val="18"/>
                  <w:szCs w:val="18"/>
                  <w:color w:val="0000EE"/>
                </w:rPr>
                <w:t xml:space="preserve"> P</w:t>
              </w:r>
              <w:r>
                <w:rPr>
                  <w:rFonts w:ascii="Arial" w:cs="Arial" w:eastAsia="Arial" w:hAnsi="Arial"/>
                  <w:sz w:val="14"/>
                  <w:szCs w:val="14"/>
                  <w:color w:val="0000EE"/>
                </w:rPr>
                <w:t>ROSPECTUS</w:t>
              </w:r>
            </w:hyperlink>
          </w:p>
        </w:tc>
        <w:tc>
          <w:tcPr>
            <w:tcW w:w="31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880" w:type="dxa"/>
            <w:vAlign w:val="bottom"/>
            <w:gridSpan w:val="29"/>
            <w:vMerge w:val="continue"/>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w:t>
              </w:r>
              <w:r>
                <w:rPr>
                  <w:rFonts w:ascii="Arial" w:cs="Arial" w:eastAsia="Arial" w:hAnsi="Arial"/>
                  <w:sz w:val="14"/>
                  <w:szCs w:val="14"/>
                  <w:color w:val="0000EE"/>
                </w:rPr>
                <w:t>AUTIONARY</w:t>
              </w:r>
              <w:r>
                <w:rPr>
                  <w:rFonts w:ascii="Arial" w:cs="Arial" w:eastAsia="Arial" w:hAnsi="Arial"/>
                  <w:sz w:val="18"/>
                  <w:szCs w:val="18"/>
                  <w:color w:val="0000EE"/>
                </w:rPr>
                <w:t xml:space="preserve"> N</w:t>
              </w:r>
              <w:r>
                <w:rPr>
                  <w:rFonts w:ascii="Arial" w:cs="Arial" w:eastAsia="Arial" w:hAnsi="Arial"/>
                  <w:sz w:val="14"/>
                  <w:szCs w:val="14"/>
                  <w:color w:val="0000EE"/>
                </w:rPr>
                <w:t>OTE</w:t>
              </w:r>
              <w:r>
                <w:rPr>
                  <w:rFonts w:ascii="Arial" w:cs="Arial" w:eastAsia="Arial" w:hAnsi="Arial"/>
                  <w:sz w:val="18"/>
                  <w:szCs w:val="18"/>
                  <w:color w:val="0000EE"/>
                </w:rPr>
                <w:t xml:space="preserve"> R</w:t>
              </w:r>
              <w:r>
                <w:rPr>
                  <w:rFonts w:ascii="Arial" w:cs="Arial" w:eastAsia="Arial" w:hAnsi="Arial"/>
                  <w:sz w:val="14"/>
                  <w:szCs w:val="14"/>
                  <w:color w:val="0000EE"/>
                </w:rPr>
                <w:t>EGARDING</w:t>
              </w:r>
              <w:r>
                <w:rPr>
                  <w:rFonts w:ascii="Arial" w:cs="Arial" w:eastAsia="Arial" w:hAnsi="Arial"/>
                  <w:sz w:val="18"/>
                  <w:szCs w:val="18"/>
                  <w:color w:val="0000EE"/>
                </w:rPr>
                <w:t xml:space="preserve"> F</w:t>
              </w:r>
              <w:r>
                <w:rPr>
                  <w:rFonts w:ascii="Arial" w:cs="Arial" w:eastAsia="Arial" w:hAnsi="Arial"/>
                  <w:sz w:val="14"/>
                  <w:szCs w:val="14"/>
                  <w:color w:val="0000EE"/>
                </w:rPr>
                <w:t>ORWARD</w:t>
              </w:r>
              <w:r>
                <w:rPr>
                  <w:rFonts w:ascii="Arial" w:cs="Arial" w:eastAsia="Arial" w:hAnsi="Arial"/>
                  <w:sz w:val="18"/>
                  <w:szCs w:val="18"/>
                  <w:color w:val="0000EE"/>
                </w:rPr>
                <w:t>-L</w:t>
              </w:r>
              <w:r>
                <w:rPr>
                  <w:rFonts w:ascii="Arial" w:cs="Arial" w:eastAsia="Arial" w:hAnsi="Arial"/>
                  <w:sz w:val="14"/>
                  <w:szCs w:val="14"/>
                  <w:color w:val="0000EE"/>
                </w:rPr>
                <w:t>OOKING</w:t>
              </w:r>
              <w:r>
                <w:rPr>
                  <w:rFonts w:ascii="Arial" w:cs="Arial" w:eastAsia="Arial" w:hAnsi="Arial"/>
                  <w:sz w:val="18"/>
                  <w:szCs w:val="18"/>
                  <w:color w:val="0000EE"/>
                </w:rPr>
                <w:t xml:space="preserve"> S</w:t>
              </w:r>
              <w:r>
                <w:rPr>
                  <w:rFonts w:ascii="Arial" w:cs="Arial" w:eastAsia="Arial" w:hAnsi="Arial"/>
                  <w:sz w:val="14"/>
                  <w:szCs w:val="14"/>
                  <w:color w:val="0000EE"/>
                </w:rPr>
                <w:t>TATEMENTS</w:t>
              </w:r>
            </w:hyperlink>
          </w:p>
        </w:tc>
        <w:tc>
          <w:tcPr>
            <w:tcW w:w="3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O</w:t>
              </w:r>
              <w:r>
                <w:rPr>
                  <w:rFonts w:ascii="Arial" w:cs="Arial" w:eastAsia="Arial" w:hAnsi="Arial"/>
                  <w:sz w:val="14"/>
                  <w:szCs w:val="14"/>
                  <w:color w:val="0000EE"/>
                  <w:w w:val="97"/>
                </w:rPr>
                <w:t>UR</w:t>
              </w:r>
              <w:r>
                <w:rPr>
                  <w:rFonts w:ascii="Arial" w:cs="Arial" w:eastAsia="Arial" w:hAnsi="Arial"/>
                  <w:sz w:val="18"/>
                  <w:szCs w:val="18"/>
                  <w:color w:val="0000EE"/>
                  <w:w w:val="97"/>
                </w:rPr>
                <w:t xml:space="preserve"> C</w:t>
              </w:r>
              <w:r>
                <w:rPr>
                  <w:rFonts w:ascii="Arial" w:cs="Arial" w:eastAsia="Arial" w:hAnsi="Arial"/>
                  <w:sz w:val="14"/>
                  <w:szCs w:val="14"/>
                  <w:color w:val="0000EE"/>
                  <w:w w:val="97"/>
                </w:rPr>
                <w:t>OMPANY</w:t>
              </w:r>
            </w:hyperlink>
          </w:p>
        </w:tc>
        <w:tc>
          <w:tcPr>
            <w:tcW w:w="3720" w:type="dxa"/>
            <w:vAlign w:val="bottom"/>
            <w:tcBorders>
              <w:top w:val="single" w:sz="8" w:color="0000EE"/>
            </w:tcBorders>
            <w:gridSpan w:val="23"/>
          </w:tcPr>
          <w:p>
            <w:pPr>
              <w:spacing w:after="0"/>
              <w:rPr>
                <w:sz w:val="17"/>
                <w:szCs w:val="17"/>
                <w:color w:val="auto"/>
              </w:rPr>
            </w:pPr>
          </w:p>
        </w:tc>
        <w:tc>
          <w:tcPr>
            <w:tcW w:w="3040" w:type="dxa"/>
            <w:vAlign w:val="bottom"/>
            <w:gridSpan w:val="2"/>
          </w:tcPr>
          <w:p>
            <w:pPr>
              <w:spacing w:after="0"/>
              <w:rPr>
                <w:sz w:val="17"/>
                <w:szCs w:val="17"/>
                <w:color w:val="auto"/>
              </w:rPr>
            </w:pPr>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w:t>
              </w:r>
              <w:r>
                <w:rPr>
                  <w:rFonts w:ascii="Arial" w:cs="Arial" w:eastAsia="Arial" w:hAnsi="Arial"/>
                  <w:sz w:val="14"/>
                  <w:szCs w:val="14"/>
                  <w:color w:val="0000EE"/>
                </w:rPr>
                <w:t>BOUT THE</w:t>
              </w:r>
              <w:r>
                <w:rPr>
                  <w:rFonts w:ascii="Arial" w:cs="Arial" w:eastAsia="Arial" w:hAnsi="Arial"/>
                  <w:sz w:val="18"/>
                  <w:szCs w:val="18"/>
                  <w:color w:val="0000EE"/>
                </w:rPr>
                <w:t xml:space="preserve"> S</w:t>
              </w:r>
              <w:r>
                <w:rPr>
                  <w:rFonts w:ascii="Arial" w:cs="Arial" w:eastAsia="Arial" w:hAnsi="Arial"/>
                  <w:sz w:val="14"/>
                  <w:szCs w:val="14"/>
                  <w:color w:val="0000EE"/>
                </w:rPr>
                <w:t>UBSIDIARY</w:t>
              </w:r>
              <w:r>
                <w:rPr>
                  <w:rFonts w:ascii="Arial" w:cs="Arial" w:eastAsia="Arial" w:hAnsi="Arial"/>
                  <w:sz w:val="18"/>
                  <w:szCs w:val="18"/>
                  <w:color w:val="0000EE"/>
                </w:rPr>
                <w:t xml:space="preserve"> G</w:t>
              </w:r>
              <w:r>
                <w:rPr>
                  <w:rFonts w:ascii="Arial" w:cs="Arial" w:eastAsia="Arial" w:hAnsi="Arial"/>
                  <w:sz w:val="14"/>
                  <w:szCs w:val="14"/>
                  <w:color w:val="0000EE"/>
                </w:rPr>
                <w:t>UARANTORS</w:t>
              </w:r>
            </w:hyperlink>
          </w:p>
        </w:tc>
        <w:tc>
          <w:tcPr>
            <w:tcW w:w="5020" w:type="dxa"/>
            <w:vAlign w:val="bottom"/>
            <w:gridSpan w:val="11"/>
          </w:tcPr>
          <w:p>
            <w:pPr>
              <w:spacing w:after="0"/>
              <w:rPr>
                <w:sz w:val="17"/>
                <w:szCs w:val="17"/>
                <w:color w:val="auto"/>
              </w:rPr>
            </w:pPr>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R</w:t>
              </w:r>
              <w:r>
                <w:rPr>
                  <w:rFonts w:ascii="Arial" w:cs="Arial" w:eastAsia="Arial" w:hAnsi="Arial"/>
                  <w:sz w:val="14"/>
                  <w:szCs w:val="14"/>
                  <w:color w:val="0000EE"/>
                  <w:w w:val="96"/>
                </w:rPr>
                <w:t>ISK</w:t>
              </w:r>
              <w:r>
                <w:rPr>
                  <w:rFonts w:ascii="Arial" w:cs="Arial" w:eastAsia="Arial" w:hAnsi="Arial"/>
                  <w:sz w:val="18"/>
                  <w:szCs w:val="18"/>
                  <w:color w:val="0000EE"/>
                  <w:w w:val="96"/>
                </w:rPr>
                <w:t xml:space="preserve"> F</w:t>
              </w:r>
              <w:r>
                <w:rPr>
                  <w:rFonts w:ascii="Arial" w:cs="Arial" w:eastAsia="Arial" w:hAnsi="Arial"/>
                  <w:sz w:val="14"/>
                  <w:szCs w:val="14"/>
                  <w:color w:val="0000EE"/>
                  <w:w w:val="96"/>
                </w:rPr>
                <w:t>ACTORS</w:t>
              </w:r>
            </w:hyperlink>
          </w:p>
        </w:tc>
        <w:tc>
          <w:tcPr>
            <w:tcW w:w="6800" w:type="dxa"/>
            <w:vAlign w:val="bottom"/>
            <w:gridSpan w:val="26"/>
          </w:tcPr>
          <w:p>
            <w:pPr>
              <w:spacing w:after="0"/>
              <w:rPr>
                <w:sz w:val="17"/>
                <w:szCs w:val="17"/>
                <w:color w:val="auto"/>
              </w:rPr>
            </w:pPr>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w:t>
              </w:r>
              <w:r>
                <w:rPr>
                  <w:rFonts w:ascii="Arial" w:cs="Arial" w:eastAsia="Arial" w:hAnsi="Arial"/>
                  <w:sz w:val="14"/>
                  <w:szCs w:val="14"/>
                  <w:color w:val="0000EE"/>
                </w:rPr>
                <w:t>SE OF</w:t>
              </w:r>
              <w:r>
                <w:rPr>
                  <w:rFonts w:ascii="Arial" w:cs="Arial" w:eastAsia="Arial" w:hAnsi="Arial"/>
                  <w:sz w:val="18"/>
                  <w:szCs w:val="18"/>
                  <w:color w:val="0000EE"/>
                </w:rPr>
                <w:t xml:space="preserve"> P</w:t>
              </w:r>
              <w:r>
                <w:rPr>
                  <w:rFonts w:ascii="Arial" w:cs="Arial" w:eastAsia="Arial" w:hAnsi="Arial"/>
                  <w:sz w:val="14"/>
                  <w:szCs w:val="14"/>
                  <w:color w:val="0000EE"/>
                </w:rPr>
                <w:t>ROCEEDS</w:t>
              </w:r>
            </w:hyperlink>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24"/>
          </w:tcPr>
          <w:p>
            <w:pPr>
              <w:spacing w:after="0" w:line="196"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R</w:t>
              </w:r>
              <w:r>
                <w:rPr>
                  <w:rFonts w:ascii="Arial" w:cs="Arial" w:eastAsia="Arial" w:hAnsi="Arial"/>
                  <w:sz w:val="14"/>
                  <w:szCs w:val="14"/>
                  <w:color w:val="0000EE"/>
                  <w:w w:val="98"/>
                </w:rPr>
                <w:t>ATIO OF</w:t>
              </w:r>
              <w:r>
                <w:rPr>
                  <w:rFonts w:ascii="Arial" w:cs="Arial" w:eastAsia="Arial" w:hAnsi="Arial"/>
                  <w:sz w:val="18"/>
                  <w:szCs w:val="18"/>
                  <w:color w:val="0000EE"/>
                  <w:w w:val="98"/>
                </w:rPr>
                <w:t xml:space="preserve"> E</w:t>
              </w:r>
              <w:r>
                <w:rPr>
                  <w:rFonts w:ascii="Arial" w:cs="Arial" w:eastAsia="Arial" w:hAnsi="Arial"/>
                  <w:sz w:val="14"/>
                  <w:szCs w:val="14"/>
                  <w:color w:val="0000EE"/>
                  <w:w w:val="98"/>
                </w:rPr>
                <w:t>ARNINGS</w:t>
              </w:r>
              <w:r>
                <w:rPr>
                  <w:rFonts w:ascii="Arial" w:cs="Arial" w:eastAsia="Arial" w:hAnsi="Arial"/>
                  <w:sz w:val="18"/>
                  <w:szCs w:val="18"/>
                  <w:color w:val="0000EE"/>
                  <w:w w:val="98"/>
                </w:rPr>
                <w:t xml:space="preserve"> (D</w:t>
              </w:r>
              <w:r>
                <w:rPr>
                  <w:rFonts w:ascii="Arial" w:cs="Arial" w:eastAsia="Arial" w:hAnsi="Arial"/>
                  <w:sz w:val="14"/>
                  <w:szCs w:val="14"/>
                  <w:color w:val="0000EE"/>
                  <w:w w:val="98"/>
                </w:rPr>
                <w:t>EFICIT</w:t>
              </w:r>
              <w:r>
                <w:rPr>
                  <w:rFonts w:ascii="Arial" w:cs="Arial" w:eastAsia="Arial" w:hAnsi="Arial"/>
                  <w:sz w:val="18"/>
                  <w:szCs w:val="18"/>
                  <w:color w:val="0000EE"/>
                  <w:w w:val="98"/>
                </w:rPr>
                <w:t xml:space="preserve">) </w:t>
              </w:r>
              <w:r>
                <w:rPr>
                  <w:rFonts w:ascii="Arial" w:cs="Arial" w:eastAsia="Arial" w:hAnsi="Arial"/>
                  <w:sz w:val="14"/>
                  <w:szCs w:val="14"/>
                  <w:color w:val="0000EE"/>
                  <w:w w:val="98"/>
                </w:rPr>
                <w:t>TO</w:t>
              </w:r>
              <w:r>
                <w:rPr>
                  <w:rFonts w:ascii="Arial" w:cs="Arial" w:eastAsia="Arial" w:hAnsi="Arial"/>
                  <w:sz w:val="18"/>
                  <w:szCs w:val="18"/>
                  <w:color w:val="0000EE"/>
                  <w:w w:val="98"/>
                </w:rPr>
                <w:t xml:space="preserve"> F</w:t>
              </w:r>
              <w:r>
                <w:rPr>
                  <w:rFonts w:ascii="Arial" w:cs="Arial" w:eastAsia="Arial" w:hAnsi="Arial"/>
                  <w:sz w:val="14"/>
                  <w:szCs w:val="14"/>
                  <w:color w:val="0000EE"/>
                  <w:w w:val="98"/>
                </w:rPr>
                <w:t>IXED</w:t>
              </w:r>
              <w:r>
                <w:rPr>
                  <w:rFonts w:ascii="Arial" w:cs="Arial" w:eastAsia="Arial" w:hAnsi="Arial"/>
                  <w:sz w:val="18"/>
                  <w:szCs w:val="18"/>
                  <w:color w:val="0000EE"/>
                  <w:w w:val="98"/>
                </w:rPr>
                <w:t xml:space="preserve"> C</w:t>
              </w:r>
              <w:r>
                <w:rPr>
                  <w:rFonts w:ascii="Arial" w:cs="Arial" w:eastAsia="Arial" w:hAnsi="Arial"/>
                  <w:sz w:val="14"/>
                  <w:szCs w:val="14"/>
                  <w:color w:val="0000EE"/>
                  <w:w w:val="98"/>
                </w:rPr>
                <w:t>HARGES</w:t>
              </w:r>
            </w:hyperlink>
          </w:p>
        </w:tc>
        <w:tc>
          <w:tcPr>
            <w:tcW w:w="4180" w:type="dxa"/>
            <w:vAlign w:val="bottom"/>
            <w:gridSpan w:val="5"/>
          </w:tcPr>
          <w:p>
            <w:pPr>
              <w:spacing w:after="0"/>
              <w:rPr>
                <w:sz w:val="17"/>
                <w:szCs w:val="17"/>
                <w:color w:val="auto"/>
              </w:rPr>
            </w:pPr>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w:t>
              </w:r>
              <w:r>
                <w:rPr>
                  <w:rFonts w:ascii="Arial" w:cs="Arial" w:eastAsia="Arial" w:hAnsi="Arial"/>
                  <w:sz w:val="14"/>
                  <w:szCs w:val="14"/>
                  <w:color w:val="0000EE"/>
                </w:rPr>
                <w:t>ELLING</w:t>
              </w:r>
              <w:r>
                <w:rPr>
                  <w:rFonts w:ascii="Arial" w:cs="Arial" w:eastAsia="Arial" w:hAnsi="Arial"/>
                  <w:sz w:val="18"/>
                  <w:szCs w:val="18"/>
                  <w:color w:val="0000EE"/>
                </w:rPr>
                <w:t xml:space="preserve"> S</w:t>
              </w:r>
              <w:r>
                <w:rPr>
                  <w:rFonts w:ascii="Arial" w:cs="Arial" w:eastAsia="Arial" w:hAnsi="Arial"/>
                  <w:sz w:val="14"/>
                  <w:szCs w:val="14"/>
                  <w:color w:val="0000EE"/>
                </w:rPr>
                <w:t>ECURITY</w:t>
              </w:r>
              <w:r>
                <w:rPr>
                  <w:rFonts w:ascii="Arial" w:cs="Arial" w:eastAsia="Arial" w:hAnsi="Arial"/>
                  <w:sz w:val="18"/>
                  <w:szCs w:val="18"/>
                  <w:color w:val="0000EE"/>
                </w:rPr>
                <w:t xml:space="preserve"> H</w:t>
              </w:r>
              <w:r>
                <w:rPr>
                  <w:rFonts w:ascii="Arial" w:cs="Arial" w:eastAsia="Arial" w:hAnsi="Arial"/>
                  <w:sz w:val="14"/>
                  <w:szCs w:val="14"/>
                  <w:color w:val="0000EE"/>
                </w:rPr>
                <w:t>OLDERS</w:t>
              </w:r>
            </w:hyperlink>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w:t>
              </w:r>
              <w:r>
                <w:rPr>
                  <w:rFonts w:ascii="Arial" w:cs="Arial" w:eastAsia="Arial" w:hAnsi="Arial"/>
                  <w:sz w:val="14"/>
                  <w:szCs w:val="14"/>
                  <w:color w:val="0000EE"/>
                </w:rPr>
                <w:t>ESCRIPTION OF</w:t>
              </w:r>
              <w:r>
                <w:rPr>
                  <w:rFonts w:ascii="Arial" w:cs="Arial" w:eastAsia="Arial" w:hAnsi="Arial"/>
                  <w:sz w:val="18"/>
                  <w:szCs w:val="18"/>
                  <w:color w:val="0000EE"/>
                </w:rPr>
                <w:t xml:space="preserve"> D</w:t>
              </w:r>
              <w:r>
                <w:rPr>
                  <w:rFonts w:ascii="Arial" w:cs="Arial" w:eastAsia="Arial" w:hAnsi="Arial"/>
                  <w:sz w:val="14"/>
                  <w:szCs w:val="14"/>
                  <w:color w:val="0000EE"/>
                </w:rPr>
                <w:t>EBT</w:t>
              </w:r>
              <w:r>
                <w:rPr>
                  <w:rFonts w:ascii="Arial" w:cs="Arial" w:eastAsia="Arial" w:hAnsi="Arial"/>
                  <w:sz w:val="18"/>
                  <w:szCs w:val="18"/>
                  <w:color w:val="0000EE"/>
                </w:rPr>
                <w:t xml:space="preserve"> S</w:t>
              </w:r>
              <w:r>
                <w:rPr>
                  <w:rFonts w:ascii="Arial" w:cs="Arial" w:eastAsia="Arial" w:hAnsi="Arial"/>
                  <w:sz w:val="14"/>
                  <w:szCs w:val="14"/>
                  <w:color w:val="0000EE"/>
                </w:rPr>
                <w:t>ECURITIES AND</w:t>
              </w:r>
              <w:r>
                <w:rPr>
                  <w:rFonts w:ascii="Arial" w:cs="Arial" w:eastAsia="Arial" w:hAnsi="Arial"/>
                  <w:sz w:val="18"/>
                  <w:szCs w:val="18"/>
                  <w:color w:val="0000EE"/>
                </w:rPr>
                <w:t xml:space="preserve"> G</w:t>
              </w:r>
              <w:r>
                <w:rPr>
                  <w:rFonts w:ascii="Arial" w:cs="Arial" w:eastAsia="Arial" w:hAnsi="Arial"/>
                  <w:sz w:val="14"/>
                  <w:szCs w:val="14"/>
                  <w:color w:val="0000EE"/>
                </w:rPr>
                <w:t>UARANTEES</w:t>
              </w:r>
            </w:hyperlink>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D</w:t>
              </w:r>
              <w:r>
                <w:rPr>
                  <w:rFonts w:ascii="Arial" w:cs="Arial" w:eastAsia="Arial" w:hAnsi="Arial"/>
                  <w:sz w:val="14"/>
                  <w:szCs w:val="14"/>
                  <w:color w:val="0000EE"/>
                  <w:w w:val="98"/>
                </w:rPr>
                <w:t>ESCRIPTION OF</w:t>
              </w:r>
              <w:r>
                <w:rPr>
                  <w:rFonts w:ascii="Arial" w:cs="Arial" w:eastAsia="Arial" w:hAnsi="Arial"/>
                  <w:sz w:val="18"/>
                  <w:szCs w:val="18"/>
                  <w:color w:val="0000EE"/>
                  <w:w w:val="98"/>
                </w:rPr>
                <w:t xml:space="preserve"> C</w:t>
              </w:r>
              <w:r>
                <w:rPr>
                  <w:rFonts w:ascii="Arial" w:cs="Arial" w:eastAsia="Arial" w:hAnsi="Arial"/>
                  <w:sz w:val="14"/>
                  <w:szCs w:val="14"/>
                  <w:color w:val="0000EE"/>
                  <w:w w:val="98"/>
                </w:rPr>
                <w:t>APITAL</w:t>
              </w:r>
              <w:r>
                <w:rPr>
                  <w:rFonts w:ascii="Arial" w:cs="Arial" w:eastAsia="Arial" w:hAnsi="Arial"/>
                  <w:sz w:val="18"/>
                  <w:szCs w:val="18"/>
                  <w:color w:val="0000EE"/>
                  <w:w w:val="98"/>
                </w:rPr>
                <w:t xml:space="preserve"> S</w:t>
              </w:r>
              <w:r>
                <w:rPr>
                  <w:rFonts w:ascii="Arial" w:cs="Arial" w:eastAsia="Arial" w:hAnsi="Arial"/>
                  <w:sz w:val="14"/>
                  <w:szCs w:val="14"/>
                  <w:color w:val="0000EE"/>
                  <w:w w:val="98"/>
                </w:rPr>
                <w:t>TOCK</w:t>
              </w:r>
            </w:hyperlink>
          </w:p>
        </w:tc>
        <w:tc>
          <w:tcPr>
            <w:tcW w:w="1520" w:type="dxa"/>
            <w:vAlign w:val="bottom"/>
            <w:tcBorders>
              <w:top w:val="single" w:sz="8" w:color="0000EE"/>
            </w:tcBorders>
            <w:gridSpan w:val="9"/>
          </w:tcPr>
          <w:p>
            <w:pPr>
              <w:spacing w:after="0"/>
              <w:rPr>
                <w:sz w:val="17"/>
                <w:szCs w:val="17"/>
                <w:color w:val="auto"/>
              </w:rPr>
            </w:pPr>
          </w:p>
        </w:tc>
        <w:tc>
          <w:tcPr>
            <w:tcW w:w="3940" w:type="dxa"/>
            <w:vAlign w:val="bottom"/>
            <w:gridSpan w:val="3"/>
          </w:tcPr>
          <w:p>
            <w:pPr>
              <w:spacing w:after="0"/>
              <w:rPr>
                <w:sz w:val="17"/>
                <w:szCs w:val="17"/>
                <w:color w:val="auto"/>
              </w:rPr>
            </w:pPr>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w:t>
              </w:r>
              <w:r>
                <w:rPr>
                  <w:rFonts w:ascii="Arial" w:cs="Arial" w:eastAsia="Arial" w:hAnsi="Arial"/>
                  <w:sz w:val="14"/>
                  <w:szCs w:val="14"/>
                  <w:color w:val="0000EE"/>
                </w:rPr>
                <w:t>LAN OF</w:t>
              </w:r>
              <w:r>
                <w:rPr>
                  <w:rFonts w:ascii="Arial" w:cs="Arial" w:eastAsia="Arial" w:hAnsi="Arial"/>
                  <w:sz w:val="18"/>
                  <w:szCs w:val="18"/>
                  <w:color w:val="0000EE"/>
                </w:rPr>
                <w:t xml:space="preserve"> D</w:t>
              </w:r>
              <w:r>
                <w:rPr>
                  <w:rFonts w:ascii="Arial" w:cs="Arial" w:eastAsia="Arial" w:hAnsi="Arial"/>
                  <w:sz w:val="14"/>
                  <w:szCs w:val="14"/>
                  <w:color w:val="0000EE"/>
                </w:rPr>
                <w:t>ISTRIBUTION</w:t>
              </w:r>
            </w:hyperlink>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W</w:t>
              </w:r>
              <w:r>
                <w:rPr>
                  <w:rFonts w:ascii="Arial" w:cs="Arial" w:eastAsia="Arial" w:hAnsi="Arial"/>
                  <w:sz w:val="14"/>
                  <w:szCs w:val="14"/>
                  <w:color w:val="0000EE"/>
                </w:rPr>
                <w:t>HERE</w:t>
              </w:r>
              <w:r>
                <w:rPr>
                  <w:rFonts w:ascii="Arial" w:cs="Arial" w:eastAsia="Arial" w:hAnsi="Arial"/>
                  <w:sz w:val="18"/>
                  <w:szCs w:val="18"/>
                  <w:color w:val="0000EE"/>
                </w:rPr>
                <w:t xml:space="preserve"> Y</w:t>
              </w:r>
              <w:r>
                <w:rPr>
                  <w:rFonts w:ascii="Arial" w:cs="Arial" w:eastAsia="Arial" w:hAnsi="Arial"/>
                  <w:sz w:val="14"/>
                  <w:szCs w:val="14"/>
                  <w:color w:val="0000EE"/>
                </w:rPr>
                <w:t>OU</w:t>
              </w:r>
              <w:r>
                <w:rPr>
                  <w:rFonts w:ascii="Arial" w:cs="Arial" w:eastAsia="Arial" w:hAnsi="Arial"/>
                  <w:sz w:val="18"/>
                  <w:szCs w:val="18"/>
                  <w:color w:val="0000EE"/>
                </w:rPr>
                <w:t xml:space="preserve"> C</w:t>
              </w:r>
              <w:r>
                <w:rPr>
                  <w:rFonts w:ascii="Arial" w:cs="Arial" w:eastAsia="Arial" w:hAnsi="Arial"/>
                  <w:sz w:val="14"/>
                  <w:szCs w:val="14"/>
                  <w:color w:val="0000EE"/>
                </w:rPr>
                <w:t>AN</w:t>
              </w:r>
              <w:r>
                <w:rPr>
                  <w:rFonts w:ascii="Arial" w:cs="Arial" w:eastAsia="Arial" w:hAnsi="Arial"/>
                  <w:sz w:val="18"/>
                  <w:szCs w:val="18"/>
                  <w:color w:val="0000EE"/>
                </w:rPr>
                <w:t xml:space="preserve"> F</w:t>
              </w:r>
              <w:r>
                <w:rPr>
                  <w:rFonts w:ascii="Arial" w:cs="Arial" w:eastAsia="Arial" w:hAnsi="Arial"/>
                  <w:sz w:val="14"/>
                  <w:szCs w:val="14"/>
                  <w:color w:val="0000EE"/>
                </w:rPr>
                <w:t>IND</w:t>
              </w:r>
              <w:r>
                <w:rPr>
                  <w:rFonts w:ascii="Arial" w:cs="Arial" w:eastAsia="Arial" w:hAnsi="Arial"/>
                  <w:sz w:val="18"/>
                  <w:szCs w:val="18"/>
                  <w:color w:val="0000EE"/>
                </w:rPr>
                <w:t xml:space="preserve"> M</w:t>
              </w:r>
              <w:r>
                <w:rPr>
                  <w:rFonts w:ascii="Arial" w:cs="Arial" w:eastAsia="Arial" w:hAnsi="Arial"/>
                  <w:sz w:val="14"/>
                  <w:szCs w:val="14"/>
                  <w:color w:val="0000EE"/>
                </w:rPr>
                <w:t>ORE</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20" w:type="dxa"/>
            <w:vAlign w:val="bottom"/>
            <w:gridSpan w:val="1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22"/>
          </w:tcPr>
          <w:p>
            <w:pPr>
              <w:spacing w:after="0" w:line="196"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I</w:t>
              </w:r>
              <w:r>
                <w:rPr>
                  <w:rFonts w:ascii="Arial" w:cs="Arial" w:eastAsia="Arial" w:hAnsi="Arial"/>
                  <w:sz w:val="14"/>
                  <w:szCs w:val="14"/>
                  <w:color w:val="0000EE"/>
                  <w:w w:val="99"/>
                </w:rPr>
                <w:t>NFORMATION</w:t>
              </w:r>
              <w:r>
                <w:rPr>
                  <w:rFonts w:ascii="Arial" w:cs="Arial" w:eastAsia="Arial" w:hAnsi="Arial"/>
                  <w:sz w:val="18"/>
                  <w:szCs w:val="18"/>
                  <w:color w:val="0000EE"/>
                  <w:w w:val="99"/>
                </w:rPr>
                <w:t xml:space="preserve"> I</w:t>
              </w:r>
              <w:r>
                <w:rPr>
                  <w:rFonts w:ascii="Arial" w:cs="Arial" w:eastAsia="Arial" w:hAnsi="Arial"/>
                  <w:sz w:val="14"/>
                  <w:szCs w:val="14"/>
                  <w:color w:val="0000EE"/>
                  <w:w w:val="99"/>
                </w:rPr>
                <w:t>NCORPORATED BY</w:t>
              </w:r>
              <w:r>
                <w:rPr>
                  <w:rFonts w:ascii="Arial" w:cs="Arial" w:eastAsia="Arial" w:hAnsi="Arial"/>
                  <w:sz w:val="18"/>
                  <w:szCs w:val="18"/>
                  <w:color w:val="0000EE"/>
                  <w:w w:val="99"/>
                </w:rPr>
                <w:t xml:space="preserve"> R</w:t>
              </w:r>
              <w:r>
                <w:rPr>
                  <w:rFonts w:ascii="Arial" w:cs="Arial" w:eastAsia="Arial" w:hAnsi="Arial"/>
                  <w:sz w:val="14"/>
                  <w:szCs w:val="14"/>
                  <w:color w:val="0000EE"/>
                  <w:w w:val="99"/>
                </w:rPr>
                <w:t>EFERENCE</w:t>
              </w:r>
            </w:hyperlink>
          </w:p>
        </w:tc>
        <w:tc>
          <w:tcPr>
            <w:tcW w:w="4540" w:type="dxa"/>
            <w:vAlign w:val="bottom"/>
            <w:gridSpan w:val="7"/>
          </w:tcPr>
          <w:p>
            <w:pPr>
              <w:spacing w:after="0"/>
              <w:rPr>
                <w:sz w:val="17"/>
                <w:szCs w:val="17"/>
                <w:color w:val="auto"/>
              </w:rPr>
            </w:pPr>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gridSpan w:val="29"/>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w:t>
              </w:r>
              <w:r>
                <w:rPr>
                  <w:rFonts w:ascii="Arial" w:cs="Arial" w:eastAsia="Arial" w:hAnsi="Arial"/>
                  <w:sz w:val="14"/>
                  <w:szCs w:val="14"/>
                  <w:color w:val="0000EE"/>
                </w:rPr>
                <w:t>EGAL</w:t>
              </w:r>
              <w:r>
                <w:rPr>
                  <w:rFonts w:ascii="Arial" w:cs="Arial" w:eastAsia="Arial" w:hAnsi="Arial"/>
                  <w:sz w:val="18"/>
                  <w:szCs w:val="18"/>
                  <w:color w:val="0000EE"/>
                </w:rPr>
                <w:t xml:space="preserve"> M</w:t>
              </w:r>
              <w:r>
                <w:rPr>
                  <w:rFonts w:ascii="Arial" w:cs="Arial" w:eastAsia="Arial" w:hAnsi="Arial"/>
                  <w:sz w:val="14"/>
                  <w:szCs w:val="14"/>
                  <w:color w:val="0000EE"/>
                </w:rPr>
                <w:t>ATTERS</w:t>
              </w:r>
            </w:hyperlink>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E</w:t>
              </w:r>
              <w:r>
                <w:rPr>
                  <w:rFonts w:ascii="Arial" w:cs="Arial" w:eastAsia="Arial" w:hAnsi="Arial"/>
                  <w:sz w:val="14"/>
                  <w:szCs w:val="14"/>
                  <w:color w:val="0000EE"/>
                  <w:w w:val="94"/>
                </w:rPr>
                <w:t>XPERTS</w:t>
              </w:r>
            </w:hyperlink>
          </w:p>
        </w:tc>
        <w:tc>
          <w:tcPr>
            <w:tcW w:w="580" w:type="dxa"/>
            <w:vAlign w:val="bottom"/>
            <w:tcBorders>
              <w:top w:val="single" w:sz="8" w:color="0000EE"/>
            </w:tcBorders>
            <w:gridSpan w:val="5"/>
          </w:tcPr>
          <w:p>
            <w:pPr>
              <w:spacing w:after="0"/>
              <w:rPr>
                <w:sz w:val="17"/>
                <w:szCs w:val="17"/>
                <w:color w:val="auto"/>
              </w:rPr>
            </w:pPr>
          </w:p>
        </w:tc>
        <w:tc>
          <w:tcPr>
            <w:tcW w:w="6640" w:type="dxa"/>
            <w:vAlign w:val="bottom"/>
            <w:gridSpan w:val="23"/>
          </w:tcPr>
          <w:p>
            <w:pPr>
              <w:spacing w:after="0"/>
              <w:rPr>
                <w:sz w:val="17"/>
                <w:szCs w:val="17"/>
                <w:color w:val="auto"/>
              </w:rPr>
            </w:pPr>
          </w:p>
        </w:tc>
        <w:tc>
          <w:tcPr>
            <w:tcW w:w="3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The second part, the accompanying prospectus, gives more general information, some of which may not apply to this offering. You should read the entire prospectus supplement, as well as the accompanying prospectus and the documents incorporated by reference that are described under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in the accompanying prospectus and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in this prospectus supplement. In the event that the description of this offering varies between this prospectus supplement and the accompanying prospectus, you should rely on the information contained in this prospectus supplement.</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You should rely only on the information contained or incorporated by reference in this prospectus supplement and the accompanying prospectus or to which we have referred you. We and the underwriters have not authorized any other person to provide you with information different from that contained in this prospectus supplement and the accompanying prospectus. If anyone provides you with different or inconsistent information, you should not rely on it. You should read this entire prospectus supplement and the accompanying prospectus, as well as the documents incorporated by reference herein and therein that are described under “</w:t>
      </w:r>
      <w:r>
        <w:rPr>
          <w:rFonts w:ascii="Arial" w:cs="Arial" w:eastAsia="Arial" w:hAnsi="Arial"/>
          <w:sz w:val="15"/>
          <w:szCs w:val="15"/>
          <w:i w:val="1"/>
          <w:iCs w:val="1"/>
          <w:color w:val="auto"/>
        </w:rPr>
        <w:t>Where You Can Find More Information</w:t>
      </w:r>
      <w:r>
        <w:rPr>
          <w:rFonts w:ascii="Arial" w:cs="Arial" w:eastAsia="Arial" w:hAnsi="Arial"/>
          <w:sz w:val="15"/>
          <w:szCs w:val="15"/>
          <w:color w:val="auto"/>
        </w:rPr>
        <w:t>” in the accompanying prospectus and “</w:t>
      </w:r>
      <w:r>
        <w:rPr>
          <w:rFonts w:ascii="Arial" w:cs="Arial" w:eastAsia="Arial" w:hAnsi="Arial"/>
          <w:sz w:val="15"/>
          <w:szCs w:val="15"/>
          <w:i w:val="1"/>
          <w:iCs w:val="1"/>
          <w:color w:val="auto"/>
        </w:rPr>
        <w:t>Information Incorporated by Reference</w:t>
      </w:r>
      <w:r>
        <w:rPr>
          <w:rFonts w:ascii="Arial" w:cs="Arial" w:eastAsia="Arial" w:hAnsi="Arial"/>
          <w:sz w:val="15"/>
          <w:szCs w:val="15"/>
          <w:color w:val="auto"/>
        </w:rPr>
        <w:t>” in this prospectus supplement. We and the underwriters are only offering to sell, and only seeking offers to buy, shares of our common stock in jurisdictions where offers and sales are permitted.</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information contained in this prospectus supplement and the accompanying prospectus or in any document incorporated herein or therein is accurate and complete only as of the date hereof or thereof, respectively, regardless of the time of delivery of this prospectus supplement and the accompanying prospectus or of any sale of our common stock by us or the underwriters. Our business, financial condition, results of operations and prospects may have changed since those dates.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and Market Data</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prospectus supplement includes industry and market data and forecasts that we obtained from internal company surveys, publicly available information and industry publications and surveys. Our internal research and forecasts are based on management’s understanding of industry conditions, and such information has not been verified by independent sources. Industry publications and surveys generally state that the information contained therein has been obtained from sources believed to be reliable.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context otherwise requires, the information in this prospectus supplement assumes that the underwriters will not exercise its option to purchase additional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In this prospectus supplement, we refer to Diamondback Energy, Inc., together with its consolidated subsidiaries, as “we,” “us,” “our” or “the Company.” This prospectus supplement includes certain terms commonly used in the oil and natural gas industry, which are defined in “Glossary of Oil and Natural Gas Terms.”</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Diamondback Energy, Inc.</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We are an independent oil and natural gas company currently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43"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We began operations in December 2007 with our acquisition of 4,174 net acres with production at the time of acquisition of approximately 800 BOE/d from 34 gross (16.8 net) wells in the Permian Basin. Subsequently, we acquired additional acreage, which brought our total net acreage position in the Permian Basin to approximately 85,816 net acres at March 31, 2016. In addition, as of March 31, 2016, we, through our subsidiary Viper Energy Partners LP, or Viper, owned mineral interests underlying approximately 48,557 gross (4,287 net) acres primarily in Midland County, Texas in the Permian Basin. Approximately 60% of these net acres are operated by us. On June 23, 2014, Viper completed its initial public offering of 5,750,000 common units representing limited partner interests and, on September 19, 2014, Viper completed a public offering of 3,500,000 common units. The common units sold to the public in the aggregate represented an approximate 12% limited partner interest in Viper. We own the general partner of Viper and the remaining approximate 88% limited partner interest in Viper.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90"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We entered into a definitive purchase agreement dated July 12, 2016 with an unrelated third party seller to acquire leasehold interests in Reeves, Ward and Pecos counties, Texas, in the Southern Delaware Basin, for an aggregate purchase price of $560.0 million, subject to certain adjustments. This transaction, which we refer to as the Pending Acquisition, includes 19,180 net acres, 19 gross producing vertical wells, 11 gross producing horizontal wells, saltwater disposal and gathering infrastructure and other related assets. Currently, based on information reported by the seller, net production attributable to the acreage we have under contract is approximately 1,000 BOE/d and, based solely on our internal estimates as of July 1, 2016, net proved reserves are approximately 2.2 MMBOE. Our estimate of proved reserves is based on our analysis of production data provided by the seller, as well as available geologic and other data, and we may revise our estimates following ownership of these properties. This reserve estimate has not been independently verified. We believe the acreage is prospective for horizontal drilling across four zones. We have identified an aggregate of approximately 290 net potential horizontal drilling locations on this acreage based on 880 foot inter-lateral spacing in the Wolfcamp A and Wolfcamp B horizons and 1,320 foot inter-lateral spacing in the 2nd and 3rd Bone Spring horizons. We believe that the identified potential horizontal drilling locations are conducive to more capital efficient longer laterals with an average length of approximately 9,500 feet, and currently intend to operate a dedicated rig on this acreage in 2017. We believe additional development potential may exist in the Bone Spring and Wolfcamp horizons and through downspacing. We intend to finance the Pending Acquisition, subject to market conditions and other factors, with net proceeds from this offering and cash on hand. The closing of the Pending Acquisition</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9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5695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760"/>
        <w:spacing w:after="0" w:line="332" w:lineRule="auto"/>
        <w:rPr>
          <w:sz w:val="20"/>
          <w:szCs w:val="20"/>
          <w:color w:val="auto"/>
        </w:rPr>
      </w:pPr>
      <w:r>
        <w:rPr>
          <w:rFonts w:ascii="Arial" w:cs="Arial" w:eastAsia="Arial" w:hAnsi="Arial"/>
          <w:sz w:val="16"/>
          <w:szCs w:val="16"/>
          <w:color w:val="auto"/>
        </w:rPr>
        <w:t>is scheduled to occur in September 2016. However, the transaction remains subject to completion of due diligence and satisfaction of other closing conditions. There can be no assurance that we will acquire all or any portion of the acreage subject to the purchase agreement</w:t>
      </w:r>
      <w:r>
        <w:rPr>
          <w:rFonts w:ascii="Arial" w:cs="Arial" w:eastAsia="Arial" w:hAnsi="Arial"/>
          <w:sz w:val="16"/>
          <w:szCs w:val="16"/>
          <w:b w:val="1"/>
          <w:bCs w:val="1"/>
          <w:color w:val="auto"/>
        </w:rPr>
        <w: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90"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Our average daily production during the second quarter of 2016 was 36,841 BOE/d (72% oil), and our average realized prices were $41.88 per barrel of oil, $1.60 per Mcf of natural gas and $13.95 per barrel of natural gas liquids, or NGLs. We are currently operating four horizontal rigs and two completion crews. If commodity prices continue to strengthen, we may add a fifth rig in the fourth quarter of 2016.</w:t>
      </w:r>
    </w:p>
    <w:p>
      <w:pPr>
        <w:spacing w:after="0" w:line="140"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We now expect to complete 60 to 75 gross horizontal wells in 2016, an increase of approximately 30% from the midpoint of the prior range of 35 to 70 gross horizontal wells. In conjunction with increased completions and activity, we currently expect that our 2016 capital expenditures for drilling, completion and infrastructure will be $350 to $425 million, an increase from our previous range of $250 to $375 million.</w:t>
      </w:r>
    </w:p>
    <w:p>
      <w:pPr>
        <w:spacing w:after="0" w:line="107"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In Howard county, Texas, we recently completed our first three-well pad targeting the Lower Spraberry, Wolfcamp A and Wolfcamp B. We recently completed two Wolfcamp A wells in Spanish Trail with an average lateral length of 10,800 feet. The Spanish Trail wells have produced an average of 1,665 BOE/d (92% oil) over 14 days.</w:t>
      </w:r>
    </w:p>
    <w:p>
      <w:pPr>
        <w:spacing w:after="0" w:line="140"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During the second quarter of 2016, Viper had production of 5,380 BOE/d (76% oil), and Viper’s average realized prices were $41.73 per barrel of oil, $1.56 per Mcf of natural gas and $13.03 per barrel of NGLs.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Investing in our common stock involves risks that include the speculative nature of oil and natural gas exploration, competition, volatile oil and natural gas prices and other material factors. You should read carefully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supplement and the accompanying prospectus, as well as other risk factors incorporated by reference into this prospectus supplement and the accompanying prospectus from the filings we make with the Securities and Exchange Commission, or the SEC, for an explanation of these risks before investing in our common stock. In particular, the following considerations may offset our competitive strengths or have a negative effect on our strategy or operating activities, which could cause a decrease in the price of our common stock and a loss of all or part of your investment:</w:t>
      </w:r>
    </w:p>
    <w:p>
      <w:pPr>
        <w:spacing w:after="0" w:line="39" w:lineRule="exact"/>
        <w:rPr>
          <w:sz w:val="20"/>
          <w:szCs w:val="20"/>
          <w:color w:val="auto"/>
        </w:rPr>
      </w:pPr>
    </w:p>
    <w:p>
      <w:pPr>
        <w:ind w:left="840" w:right="180" w:hanging="211"/>
        <w:spacing w:after="0" w:line="26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volatility of oil and natural gas prices due to factors beyond our control greatly affects our profitability and the present value of our estimated reserves.</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is difficult to evaluate because of our limited operating history.</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managing the growth of our business may adversely affect our financial condition and results of operations.</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develop our undeveloped acreage could adversely affect our future cash flow and income.</w:t>
      </w:r>
    </w:p>
    <w:p>
      <w:pPr>
        <w:spacing w:after="0" w:line="90" w:lineRule="exact"/>
        <w:rPr>
          <w:rFonts w:ascii="Arial" w:cs="Arial" w:eastAsia="Arial" w:hAnsi="Arial"/>
          <w:sz w:val="18"/>
          <w:szCs w:val="18"/>
          <w:color w:val="auto"/>
        </w:rPr>
      </w:pPr>
    </w:p>
    <w:p>
      <w:pPr>
        <w:ind w:left="840" w:right="300" w:hanging="211"/>
        <w:spacing w:after="0" w:line="26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exploration and development operations require substantial capital that we may be unable to obtain, which could lead to a loss of properties and a decline in our reserves.</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success depends on our ability to find, develop or acquire additional oil and natural gas reserves.</w:t>
      </w:r>
    </w:p>
    <w:p>
      <w:pPr>
        <w:spacing w:after="0" w:line="90" w:lineRule="exact"/>
        <w:rPr>
          <w:rFonts w:ascii="Arial" w:cs="Arial" w:eastAsia="Arial" w:hAnsi="Arial"/>
          <w:sz w:val="18"/>
          <w:szCs w:val="18"/>
          <w:color w:val="auto"/>
        </w:rPr>
      </w:pPr>
    </w:p>
    <w:p>
      <w:pPr>
        <w:ind w:left="840" w:right="180" w:hanging="211"/>
        <w:spacing w:after="0" w:line="26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estimated reserves are based on many assumptions that may turn out to be inaccurate. Any material inaccuracies in these reserve estimates or underlying assumptions will materially affect the quantities and present values of our estimated reserves.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60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4601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40" w:right="20" w:hanging="211"/>
        <w:spacing w:after="0" w:line="259"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producing properties are located in the Permian Basin of West Texas, making us vulnerable to risks associated with a concentration of operations in a single geographic area. In addition, we have a large amount of proved reserves attributable to a small number of producing horizons within this area.</w:t>
      </w:r>
    </w:p>
    <w:p>
      <w:pPr>
        <w:spacing w:after="0" w:line="59" w:lineRule="exact"/>
        <w:rPr>
          <w:rFonts w:ascii="Arial" w:cs="Arial" w:eastAsia="Arial" w:hAnsi="Arial"/>
          <w:sz w:val="18"/>
          <w:szCs w:val="18"/>
          <w:color w:val="auto"/>
        </w:rPr>
      </w:pPr>
    </w:p>
    <w:p>
      <w:pPr>
        <w:ind w:left="840" w:right="720" w:hanging="211"/>
        <w:spacing w:after="0" w:line="268"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upon several significant purchasers for the sale of most of our oil and natural gas production. The loss of one or more of these purchasers could limit our access to suitable markets for the oil and natural gas we produce.</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are subject to various governmental regulations which require compliance that can be burdensome and expensive.</w:t>
      </w:r>
    </w:p>
    <w:p>
      <w:pPr>
        <w:spacing w:after="0" w:line="90" w:lineRule="exact"/>
        <w:rPr>
          <w:rFonts w:ascii="Arial" w:cs="Arial" w:eastAsia="Arial" w:hAnsi="Arial"/>
          <w:sz w:val="18"/>
          <w:szCs w:val="18"/>
          <w:color w:val="auto"/>
        </w:rPr>
      </w:pPr>
    </w:p>
    <w:p>
      <w:pPr>
        <w:ind w:left="840" w:right="280" w:hanging="211"/>
        <w:spacing w:after="0" w:line="268"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by us to comply with applicable environmental laws and regulations, including those relating to hydraulic fracturing, could result in governmental authorities taking actions that adversely affect our operations and financial condition.</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are subject to operational hazards for which we may not be adequately insured.</w:t>
      </w:r>
    </w:p>
    <w:p>
      <w:pPr>
        <w:spacing w:after="0" w:line="90" w:lineRule="exact"/>
        <w:rPr>
          <w:rFonts w:ascii="Arial" w:cs="Arial" w:eastAsia="Arial" w:hAnsi="Arial"/>
          <w:sz w:val="18"/>
          <w:szCs w:val="18"/>
          <w:color w:val="auto"/>
        </w:rPr>
      </w:pPr>
    </w:p>
    <w:p>
      <w:pPr>
        <w:ind w:left="840" w:right="320" w:hanging="211"/>
        <w:spacing w:after="0" w:line="268"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successfully identify, complete and integrate acquisitions of properties or businesses, including our Pending Acquisition (see “— Recent Developments—Pending Acquisition”), could reduce our earnings and slow our growth.</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of our stockholders controls a significant percentage of our common stock and its interests may conflict with yours.</w:t>
      </w:r>
    </w:p>
    <w:p>
      <w:pPr>
        <w:spacing w:after="0" w:line="171" w:lineRule="exact"/>
        <w:rPr>
          <w:sz w:val="20"/>
          <w:szCs w:val="20"/>
          <w:color w:val="auto"/>
        </w:rPr>
      </w:pPr>
    </w:p>
    <w:p>
      <w:pPr>
        <w:jc w:val="both"/>
        <w:ind w:left="200" w:right="40" w:firstLine="443"/>
        <w:spacing w:after="0" w:line="259" w:lineRule="auto"/>
        <w:rPr>
          <w:sz w:val="20"/>
          <w:szCs w:val="20"/>
          <w:color w:val="auto"/>
        </w:rPr>
      </w:pPr>
      <w:r>
        <w:rPr>
          <w:rFonts w:ascii="Arial" w:cs="Arial" w:eastAsia="Arial" w:hAnsi="Arial"/>
          <w:sz w:val="18"/>
          <w:szCs w:val="18"/>
          <w:color w:val="auto"/>
        </w:rPr>
        <w:t>For a discussion of other considerations that could negatively affect us, 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S-7 and those incorporated by reference into this prospectus supplement and the accompanying prospectus from the filings we make with the SEC, as well as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on page S-12 of this prospectus supplement.</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Offices</w:t>
      </w:r>
    </w:p>
    <w:p>
      <w:pPr>
        <w:spacing w:after="0" w:line="9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 xml:space="preserve">Our principal executive offices are located at 500 West Texas, Suite 1200, Midland, Texas, and our telephone number at that address is (432) 221-7400. We also lease additional office space in Midland and in Oklahoma City, Oklahoma. Our website address is </w:t>
      </w:r>
      <w:r>
        <w:rPr>
          <w:rFonts w:ascii="Arial" w:cs="Arial" w:eastAsia="Arial" w:hAnsi="Arial"/>
          <w:sz w:val="18"/>
          <w:szCs w:val="18"/>
          <w:i w:val="1"/>
          <w:iCs w:val="1"/>
          <w:color w:val="auto"/>
        </w:rPr>
        <w:t>www.diamondbackenergy.com</w:t>
      </w:r>
      <w:r>
        <w:rPr>
          <w:rFonts w:ascii="Arial" w:cs="Arial" w:eastAsia="Arial" w:hAnsi="Arial"/>
          <w:sz w:val="18"/>
          <w:szCs w:val="18"/>
          <w:color w:val="auto"/>
        </w:rPr>
        <w:t>. Information contained on our website does not constitute part of this prospectus supplement.</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9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509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5,500,000 shares (6,325,000 shares if the underwriters’ option to purchase additional shares is exercised in full).</w:t>
      </w:r>
    </w:p>
    <w:p>
      <w:pPr>
        <w:spacing w:after="0" w:line="17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We have granted the underwriters a 30-day option to purchase up to an aggregate of 825,000 additional shares of our common stock.</w:t>
      </w:r>
    </w:p>
    <w:p>
      <w:pPr>
        <w:spacing w:after="0" w:line="17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80" w:hanging="81"/>
        <w:spacing w:after="0" w:line="268" w:lineRule="auto"/>
        <w:rPr>
          <w:sz w:val="20"/>
          <w:szCs w:val="20"/>
          <w:color w:val="auto"/>
        </w:rPr>
      </w:pPr>
      <w:r>
        <w:rPr>
          <w:rFonts w:ascii="Arial" w:cs="Arial" w:eastAsia="Arial" w:hAnsi="Arial"/>
          <w:sz w:val="18"/>
          <w:szCs w:val="18"/>
          <w:color w:val="auto"/>
        </w:rPr>
        <w:t>Common stock to be outstanding immediately after completion of this offering</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77,209,652 shares (78,034,652 shares if the underwriters’ option to purchase additional shares is exercised in full).</w:t>
      </w:r>
    </w:p>
    <w:p>
      <w:pPr>
        <w:spacing w:after="0" w:line="186" w:lineRule="exact"/>
        <w:rPr>
          <w:sz w:val="20"/>
          <w:szCs w:val="20"/>
          <w:color w:val="auto"/>
        </w:rPr>
      </w:pPr>
    </w:p>
    <w:p>
      <w:pPr>
        <w:sectPr>
          <w:pgSz w:w="11900" w:h="16838" w:orient="portrait"/>
          <w:cols w:equalWidth="0" w:num="2">
            <w:col w:w="3800" w:space="60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We estimate that the net proceeds from the sale of 5,500,000 shares of our common stock in this offering will be approximately $479.7 million, after deducting underwriting discounts and commissions and estimated offering expenses, or approximately $551.7 million if the underwriters exercise the option granted by us in full. We intend to use the net proceeds from this offering, together with cash on hand, to fund the purchase price for the Pending Acquisition (see “</w:t>
      </w:r>
      <w:r>
        <w:rPr>
          <w:rFonts w:ascii="Arial" w:cs="Arial" w:eastAsia="Arial" w:hAnsi="Arial"/>
          <w:sz w:val="16"/>
          <w:szCs w:val="16"/>
          <w:i w:val="1"/>
          <w:iCs w:val="1"/>
          <w:color w:val="auto"/>
        </w:rPr>
        <w:t>—Recent Developments—Pending Acquisition</w:t>
      </w:r>
      <w:r>
        <w:rPr>
          <w:rFonts w:ascii="Arial" w:cs="Arial" w:eastAsia="Arial" w:hAnsi="Arial"/>
          <w:sz w:val="16"/>
          <w:szCs w:val="16"/>
          <w:color w:val="auto"/>
        </w:rPr>
        <w:t>”). We intend to use any net proceeds received upon exercise of the underwriters’ 30-day option to purchase additional shares (plus any additional proceeds that may become available if the Pending Acquisition is not consummated or the purchase price is reduced because we acquire less than all of the oil and natural gas assets subject to the purchase agreement) to fund a portion of our exploration and development activities and for general corporate purposes, which may include leasehold interest and property acquisitions and working capital. See “</w:t>
      </w:r>
      <w:r>
        <w:rPr>
          <w:rFonts w:ascii="Arial" w:cs="Arial" w:eastAsia="Arial" w:hAnsi="Arial"/>
          <w:sz w:val="16"/>
          <w:szCs w:val="16"/>
          <w:i w:val="1"/>
          <w:iCs w:val="1"/>
          <w:color w:val="auto"/>
        </w:rPr>
        <w:t>Use of Proceeds</w:t>
      </w:r>
      <w:r>
        <w:rPr>
          <w:rFonts w:ascii="Arial" w:cs="Arial" w:eastAsia="Arial" w:hAnsi="Arial"/>
          <w:sz w:val="16"/>
          <w:szCs w:val="16"/>
          <w:color w:val="auto"/>
        </w:rPr>
        <w:t>” on page S-14 of this prospectus supplement.</w:t>
      </w:r>
    </w:p>
    <w:p>
      <w:pPr>
        <w:spacing w:after="0" w:line="16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jc w:val="both"/>
        <w:ind w:right="200"/>
        <w:spacing w:after="0" w:line="370" w:lineRule="auto"/>
        <w:rPr>
          <w:sz w:val="20"/>
          <w:szCs w:val="20"/>
          <w:color w:val="auto"/>
        </w:rPr>
      </w:pPr>
      <w:r>
        <w:rPr>
          <w:rFonts w:ascii="Arial" w:cs="Arial" w:eastAsia="Arial" w:hAnsi="Arial"/>
          <w:sz w:val="15"/>
          <w:szCs w:val="15"/>
          <w:color w:val="auto"/>
        </w:rPr>
        <w:t>We currently anticipate that we will retain all future earnings, if any, to finance the growth and development of our business. We do not intend to pay cash dividends in the foreseeable future.</w:t>
      </w:r>
    </w:p>
    <w:p>
      <w:pPr>
        <w:spacing w:after="0" w:line="10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“FANG”</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carefully read and consider the information set forth under the heading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beginning on page S-7 of this prospectus supplement and other risk factors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into this prospectus supplement and the accompanying prospectus from the filings we make with the SEC, as well as all other information included or incorporated by reference in this prospectus supplement and the accompanying prospectus, before deciding to invest in our common stock.</w:t>
      </w:r>
    </w:p>
    <w:p>
      <w:pPr>
        <w:spacing w:after="0" w:line="144"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right="300" w:firstLine="443"/>
        <w:spacing w:after="0" w:line="268" w:lineRule="auto"/>
        <w:rPr>
          <w:sz w:val="20"/>
          <w:szCs w:val="20"/>
          <w:color w:val="auto"/>
        </w:rPr>
      </w:pPr>
      <w:r>
        <w:rPr>
          <w:rFonts w:ascii="Arial" w:cs="Arial" w:eastAsia="Arial" w:hAnsi="Arial"/>
          <w:sz w:val="18"/>
          <w:szCs w:val="18"/>
          <w:color w:val="auto"/>
        </w:rPr>
        <w:t>Except as otherwise indicated, all share information contained in this prospectus supplement assumes the underwriters do not exercise its option to purchase additional shares of our common stock.</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0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170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RESERVE DATA</w:t>
      </w:r>
    </w:p>
    <w:p>
      <w:pPr>
        <w:spacing w:after="0" w:line="177"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following table sets forth estimates of our net proved oil, natural gas and natural gas liquid reserves as of December 31, 2015, 2014 and 2013, and the present value of our reserves as of December 31, 2015, based on the reserve reports prepared by Ryder Scott Company, L.P., or Ryder Scott. Each reserve report was prepared in accordance with the rules and regulations of the SEC. A copy of Ryder Scott’s report as of December 31, 2015 is included in our Annual Report on Form 10-K for the year ended December 31, 2015 incorporated by reference in this prospectus supplement and the accompanying prospectus, respectively. You should refer to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Business—Oil and Natural Gas Data—Proved Reserves</w:t>
      </w:r>
      <w:r>
        <w:rPr>
          <w:rFonts w:ascii="Arial" w:cs="Arial" w:eastAsia="Arial" w:hAnsi="Arial"/>
          <w:sz w:val="16"/>
          <w:szCs w:val="16"/>
          <w:color w:val="auto"/>
        </w:rPr>
        <w:t>,” “</w:t>
      </w:r>
      <w:r>
        <w:rPr>
          <w:rFonts w:ascii="Arial" w:cs="Arial" w:eastAsia="Arial" w:hAnsi="Arial"/>
          <w:sz w:val="16"/>
          <w:szCs w:val="16"/>
          <w:i w:val="1"/>
          <w:iCs w:val="1"/>
          <w:color w:val="auto"/>
        </w:rPr>
        <w:t>Business—Oil and Natural Gas</w:t>
      </w:r>
      <w:r>
        <w:rPr>
          <w:rFonts w:ascii="Arial" w:cs="Arial" w:eastAsia="Arial" w:hAnsi="Arial"/>
          <w:sz w:val="16"/>
          <w:szCs w:val="16"/>
          <w:color w:val="auto"/>
        </w:rPr>
        <w:t xml:space="preserve"> </w:t>
      </w:r>
      <w:r>
        <w:rPr>
          <w:rFonts w:ascii="Arial" w:cs="Arial" w:eastAsia="Arial" w:hAnsi="Arial"/>
          <w:sz w:val="16"/>
          <w:szCs w:val="16"/>
          <w:i w:val="1"/>
          <w:iCs w:val="1"/>
          <w:color w:val="auto"/>
        </w:rPr>
        <w:t>Production Prices and Production Costs—Production and Price History</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our audited consolidated financial statements and notes thereto included, as applicable, in this prospectus supplement and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for the year ended December 31, 2015 incorporated by reference into this prospectus supplement and the accompanying prospectus, in evaluating the material presented below.</w:t>
      </w:r>
    </w:p>
    <w:p>
      <w:pPr>
        <w:spacing w:after="0" w:line="15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w w:val="95"/>
              </w:rPr>
              <w:t>As of December 31,</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13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Estimated proved developed reserves:</w:t>
            </w:r>
          </w:p>
        </w:tc>
        <w:tc>
          <w:tcPr>
            <w:tcW w:w="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Oil (Bbls)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60,569,398</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43,885,835</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19,789,965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(Mcf)</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96,871,109</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68,264,113</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31,428,756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Natural gas liquids (Bbls)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15,418,353</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11,221,428</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4,973,493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(BOE)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92,132,936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66,484,615</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30,001,584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Estimated proved undeveloped reserves:</w:t>
            </w: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 (Bbls)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45,409,313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31,803,754</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22,810,887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Natural gas (Mcf)</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52,631,635</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43,341,147</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30,250,740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liquids (Bbls)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10,585,791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7,320,504</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5,732,231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Total (BOE)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64,767,043</w:t>
            </w: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46,347,783</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33,584,908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Net Proved Reserves:</w:t>
            </w:r>
          </w:p>
        </w:tc>
        <w:tc>
          <w:tcPr>
            <w:tcW w:w="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Oil (Bbls)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105,978,711</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75,689,589</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42,600,852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(Mcf)</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149,502,744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111,605,260</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61,679,496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Natural gas liquids (Bbls)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26,004,144</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18,541,932</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10,705,724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(BOE)(1)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156,899,979</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112,832,398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63,586,492(2)</w:t>
            </w:r>
          </w:p>
        </w:tc>
        <w:tc>
          <w:tcPr>
            <w:tcW w:w="0" w:type="dxa"/>
            <w:vAlign w:val="bottom"/>
          </w:tcPr>
          <w:p>
            <w:pPr>
              <w:spacing w:after="0"/>
              <w:rPr>
                <w:sz w:val="1"/>
                <w:szCs w:val="1"/>
                <w:color w:val="auto"/>
              </w:rPr>
            </w:pPr>
          </w:p>
        </w:tc>
      </w:tr>
      <w:tr>
        <w:trPr>
          <w:trHeight w:val="322"/>
        </w:trPr>
        <w:tc>
          <w:tcPr>
            <w:tcW w:w="3960" w:type="dxa"/>
            <w:vAlign w:val="bottom"/>
            <w:gridSpan w:val="2"/>
          </w:tcPr>
          <w:p>
            <w:pPr>
              <w:spacing w:after="0"/>
              <w:rPr>
                <w:sz w:val="20"/>
                <w:szCs w:val="20"/>
                <w:color w:val="auto"/>
              </w:rPr>
            </w:pPr>
            <w:r>
              <w:rPr>
                <w:rFonts w:ascii="Arial" w:cs="Arial" w:eastAsia="Arial" w:hAnsi="Arial"/>
                <w:sz w:val="18"/>
                <w:szCs w:val="18"/>
                <w:color w:val="auto"/>
              </w:rPr>
              <w:t>Percent proved developed</w:t>
            </w:r>
          </w:p>
        </w:tc>
        <w:tc>
          <w:tcPr>
            <w:tcW w:w="2300" w:type="dxa"/>
            <w:vAlign w:val="bottom"/>
            <w:gridSpan w:val="3"/>
          </w:tcPr>
          <w:p>
            <w:pPr>
              <w:jc w:val="right"/>
              <w:ind w:right="120"/>
              <w:spacing w:after="0"/>
              <w:rPr>
                <w:sz w:val="20"/>
                <w:szCs w:val="20"/>
                <w:color w:val="auto"/>
              </w:rPr>
            </w:pPr>
            <w:r>
              <w:rPr>
                <w:rFonts w:ascii="Arial" w:cs="Arial" w:eastAsia="Arial" w:hAnsi="Arial"/>
                <w:sz w:val="18"/>
                <w:szCs w:val="18"/>
                <w:color w:val="auto"/>
              </w:rPr>
              <w:t>58.7%</w:t>
            </w:r>
          </w:p>
        </w:tc>
        <w:tc>
          <w:tcPr>
            <w:tcW w:w="1940" w:type="dxa"/>
            <w:vAlign w:val="bottom"/>
            <w:gridSpan w:val="3"/>
          </w:tcPr>
          <w:p>
            <w:pPr>
              <w:jc w:val="right"/>
              <w:ind w:right="500"/>
              <w:spacing w:after="0"/>
              <w:rPr>
                <w:sz w:val="20"/>
                <w:szCs w:val="20"/>
                <w:color w:val="auto"/>
              </w:rPr>
            </w:pPr>
            <w:r>
              <w:rPr>
                <w:rFonts w:ascii="Arial" w:cs="Arial" w:eastAsia="Arial" w:hAnsi="Arial"/>
                <w:sz w:val="18"/>
                <w:szCs w:val="18"/>
                <w:color w:val="auto"/>
              </w:rPr>
              <w:t>58.9%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PV-10 value(3)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$1,431,341,000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Standardized measure(4)</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$1,418,133,000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20" w:hanging="423"/>
        <w:spacing w:after="0" w:line="282"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of reserves as of December 31, 2015, 2014 and 2013 were prepared using an average price equal to the unweighted arithmetic average of hydrocarbon prices received on a field-by-field basis on the first day of each month within the 12-month periods ended December 31, 2015, 2014 and 2013, respectively, in accordance with revised SEC guidelines applicable to reserve estimates as of the end of such periods. The unweighted arithmetic average first day of the month prices were $50.28 per Bbl for oil, $19.90 per Bbl for NGLs and $2.58 per Mcf for gas at December 31, 2015.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5" w:lineRule="exact"/>
        <w:rPr>
          <w:rFonts w:ascii="Arial" w:cs="Arial" w:eastAsia="Arial" w:hAnsi="Arial"/>
          <w:sz w:val="16"/>
          <w:szCs w:val="16"/>
          <w:color w:val="auto"/>
        </w:rPr>
      </w:pPr>
    </w:p>
    <w:p>
      <w:pPr>
        <w:ind w:left="620" w:right="280" w:hanging="423"/>
        <w:spacing w:after="0" w:line="261"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giving effect to Viper’s initial public offering, our estimated proved oil and natural gas reserves would have been 62,811 MBOE based on the December 31, 2013 reserve report prepared by Ryder Scott.</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08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31083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right="200" w:hanging="423"/>
        <w:spacing w:after="0" w:line="294"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present value, discounted at 10% per annum, of estimated future net revenue before income tax of our estimated proved reserves. The estimated future net revenues set forth above were determined by using reserve quantities of proved reserves and the periods in which they are expected to be developed and produced based on certain prevailing economic conditions. The estimated future production in our reserve report as of December 31, 2015 is priced based on the 12-month unweighted arithmetic average of the first-day-of-the month price for each month within such period, unless such prices were defined by contractual arrangements, as required by SEC regulations.</w:t>
      </w:r>
    </w:p>
    <w:p>
      <w:pPr>
        <w:spacing w:after="0" w:line="34" w:lineRule="exact"/>
        <w:rPr>
          <w:rFonts w:ascii="Arial" w:cs="Arial" w:eastAsia="Arial" w:hAnsi="Arial"/>
          <w:sz w:val="16"/>
          <w:szCs w:val="16"/>
          <w:color w:val="auto"/>
        </w:rPr>
      </w:pPr>
    </w:p>
    <w:p>
      <w:pPr>
        <w:ind w:left="640"/>
        <w:spacing w:after="0" w:line="291" w:lineRule="auto"/>
        <w:rPr>
          <w:rFonts w:ascii="Arial" w:cs="Arial" w:eastAsia="Arial" w:hAnsi="Arial"/>
          <w:sz w:val="16"/>
          <w:szCs w:val="16"/>
          <w:color w:val="auto"/>
        </w:rPr>
      </w:pPr>
      <w:r>
        <w:rPr>
          <w:rFonts w:ascii="Arial" w:cs="Arial" w:eastAsia="Arial" w:hAnsi="Arial"/>
          <w:sz w:val="16"/>
          <w:szCs w:val="16"/>
          <w:color w:val="auto"/>
        </w:rPr>
        <w:t>PV-10 is a non-GAAP measure because it excludes income tax effects. Management believes that the presentation of the non-GAAP financial measure of PV-10 provides useful information to investors because it is widely used by professional analysts and sophisticated investors in evaluating oil and gas companies. PV-10 is not a measure of financial or operating performance under United States’ generally accepted accounting principles, or GAAP. PV-10 should not be considered as an alternative to the standardized measure as defined under GAAP. We have included a reconciliation of PV-10 to standardized measure of discounted future net cash flows, the most directly comparable GAAP measure. The following table reconciles the standardized measure of future net cash flows to the PV-10 value:</w:t>
      </w:r>
    </w:p>
    <w:p>
      <w:pPr>
        <w:spacing w:after="0" w:line="22"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Standardized measure of discounted future net cash flows</w:t>
            </w:r>
          </w:p>
        </w:tc>
        <w:tc>
          <w:tcPr>
            <w:tcW w:w="1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1,418,133,000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 Present value of future income tax discounted at 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13,208,000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PV-10 value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1,431,341,000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20" w:right="40" w:hanging="423"/>
        <w:spacing w:after="0" w:line="256"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standardized measure represents the present value of estimated future cash inflows from proved oil and natural gas reserves, less future development, abandonment, production and income tax expenses, discounted at 10% per annum to reflect timing of future cash flows and using the same pricing assumptions as were used to calculate PV-10. Standardized measure differs from PV-10 because standardized measure includes the effect of future income taxes.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following risks, as well as the risks described in our most recent Annual Report on Form 10-K and subsequent Quarterly Report on Form 10-Q and other filings we make with the SEC incorporated by reference into this prospectus supplement and the accompanying prospectus, and all of the other information contained in or incorporated by reference into this prospectus supplement and the accompanying prospectus, before deciding to invest in our common stock. Our business, financial condition and results of operations could be materially and adversely affected by any of these risks. The risks described below and those incorporated by reference into this prospectus supplement and the accompanying prospectus are not the only ones facing us. Additional risks not presently known to us or which we currently consider immaterial also may adversely affect us.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17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Pending Acquisition may not be completed, and even if the Pending Acquisition is completed, we may fail to realize the benefits anticipated as a result of the Pending Acquisition.</w:t>
      </w:r>
    </w:p>
    <w:p>
      <w:pPr>
        <w:spacing w:after="0" w:line="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Pending Acquisition is expected to close in September 2016, subject to customary closing conditions. If these conditions are not satisfied or waived, the Pending Acquisition will not be consummated. There can be no assurances that the Pending Acquisition will be consummated or that the expected benefits of such acquisitions will be realized. The closing of this offering is not conditioned on, nor is it a condition to, the consummation of the Pending Acquisition. If the Pending Acquisition is delayed, not consummated or consummated in a manner different than described herein, the price of our common stock may decline. In addition, if the Pending Acquisition is not consummated, our management will have broad discretion in the application of the net proceeds of this offering. Accordingly, if you decide to purchase common stock in this offering, you should be willing to do so whether or not we complete the Pending Acquisition.</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are able to consummate the Pending Acquisition, such consummation would involve potential risks, including, without limitation, inefficiencies and unexpected costs and liabilities. If we consummate the Pending Acquisition and if these risks or other expected costs and liabilities were to materialize, any desired benefits of the Pending Acquisition may not be fully realized, if at all, and our future financial performance and results of operations could be negatively impacted.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price of our common stock fluctuates significantly, your investment could lose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our common stock is listed on the NASDAQ Global Select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w:t>
      </w:r>
    </w:p>
    <w:p>
      <w:pPr>
        <w:spacing w:after="0" w:line="37"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volatility of oil and natural gas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or annual 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recommendations by securities analysts following our business or our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business, earnings estimates or market perceptions of our competitors;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industry, general market or economic conditions;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legislative or regulatory changes.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21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Market conditions for oil and natural gas, and particularly the recent decline in prices for oil and natural gas, could adversely affect our revenue, cash flows, profitability, growth, production and the present value of our estimated reserves.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revenue, cash flows, profitability, growth, production and present value of our estimated reserves depend substantially upon prevailing prices for oil and natural gas. During the past six years, the posted price for West Texas Intermediate has ranged from a low of $27.56 per barrel, or Bbl, in January 2016 to a high of $113.39 per Bbl in April 2011. The Henry Hub spot market price of natural gas has ranged from a low of $1.49 per MMBtu in March 2016 to a high of $8.15 per MMBtu in February 2014. During 2015, WTI prices ranged from $34.55 to $61.36 per Bbl and the Henry Hub spot market price of natural gas ranged from $1.63 to $3.32 per MMBtu. On July 12, 2016, the WTI posted price for crude oil was $46.80 per Bbl and the Henry Hub spot market price of natural gas was $2.75 per MMBtu, representing decreases of approximately 56% and 55%, respectively, from the high of $106.91 per Bbl of oil and $6.15 per MMBtu for natural gas during 2014. If the prices of oil and natural gas continue at current levels or decline further, our operations, financial condition and level of expenditures for the development of our oil and natural gas reserves may be materially and adversely affected. In addition, lower oil and natural gas prices may reduce the amount of oil and natural gas that we can produce economically. This may result in our having to make substantial downward adjustments to our estimated proved reserves. If this occurs or if our production estimates change or our exploration or development activities are curtailed, full cost accounting rules may require us to write down, as a non-cash charge to earnings, the carrying value of our oil and natural gas properties. Reductions in our reserves could also negatively impact the borrowing base under our revolving credit facility, which could further limit our liquidity and ability to conduct additional exploration and development activities.</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We have entered into price swap derivatives and may in the future enter into forward sale contracts or additional price swap derivatives for a portion of our production. Although we have hedged a portion of our estimated 2016 production, we may still be adversely affected by continuing and prolonged declines in the price of oil.</w:t>
      </w:r>
    </w:p>
    <w:p>
      <w:pPr>
        <w:spacing w:after="0" w:line="5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 price swap derivatives to reduce price volatility associated with certain of our oil sales. Under these swap contracts, we receive a fixed price per barrel of oil and pay a floating market price per barrel of oil to the counterparty based on West Texas Intermediate pricing or Inter-Continental Exchange, or ICE, pricing for Brent crude oil. The fixed-price payment and the floating-price payment are offset, resulting in a net amount due to or from the counterparty. These contracts and any future economic hedging arrangements may expose us to risk of financial loss in certain circumstances, including instances where production is less than expected or oil prices increase.</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2015, we had crude oil swap contracts in place covering ICE Brent crude oil priced at a weighted average price of $88.72 for 91,000 aggregate Bbls for the production period of January through February 2016. As of July 12, 2016, we had not entered into any hedging transactions that would be material with respect to our anticipated 2016 production. To the extent that the price of oil remains at current levels or declines further, we will not be able to hedge future production at the same level as our current hedges, and our results of operations and financial condition would be negatively impacted.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interests of one of our stockholders may conflict with those of our other stockholders.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Wexford Capital LP, or Wexford (assuming neither Wexford nor any of its affiliates makes any additional purchases of our common stock), beneficially owns less than 1% of our common stock. However, an individual affiliated with Wexford serves as the chairman of our board of directors. As a result, Wexford may be able to exercise influence over matters requiring stockholder approval. The interests of Wexford with respect to matters potentially or actually involving or affecting us, such as future acquisitions, financings and other corporate opportunities and attempts to acquire us, may conflict with the interests of our other stockholders.</w:t>
      </w:r>
    </w:p>
    <w:p>
      <w:pPr>
        <w:spacing w:after="0" w:line="2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We have relied in the past, and we may rely from time to time in the future, on borrowings under our revolving credit facility to fund a portion of our capital expenditures. Unless we are able to repay borrowings under our revolving credit facility with cash flow from operations and proceeds from equity offerings, implementing our capital programs may require an increase in our total leverage through additional debt issuances. In addition, a reduction in availability under our revolving credit facility and the inability to otherwise obtain financing for our capital programs could require us to curtail our drilling activities.</w:t>
      </w:r>
    </w:p>
    <w:p>
      <w:pPr>
        <w:spacing w:after="0" w:line="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Historically, we have relied on availability under our revolving credit facility to fund a portion of our capital expenditures as such expenditures have generally exceeded our cash flow from operations. We expect that we will continue to fund a portion of our capital expenditures with borrowings under our revolving credit facility and from the proceeds of debt and equity offerings, including equity offerings of our common units in Viper. In the past, we have created availability under our revolving credit facility by repaying outstanding borrowings with the proceeds from equity offerings. We cannot assure you that we will be able to access the equity capital markets to repay any such future borrowings. Instead, we may be required to finance our capital expenditures through additional debt issuances, which would increase our total amount of debt outstanding. Further, if the availability under our revolving credit facility were reduced, and we were otherwise unable to secure other sources of financing, we may be required to curtail our drilling programs, which could result in a loss of acreage through lease expirations. In addition, we may not be able to complete acquisitions that may be favorable to us or finance the capital expenditures necessary to replace our reserves.</w:t>
      </w:r>
    </w:p>
    <w:p>
      <w:pPr>
        <w:spacing w:after="0" w:line="19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corporate opportunity provisions in our certificate of incorporation could enable Wexford, our equity sponsor, or other affiliates of ours to benefit from corporate opportunities that might otherwise be available to us.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permits us to enter into transactions with entities in which one or more of our officers or directors are financially or otherwise interested;</w:t>
      </w:r>
    </w:p>
    <w:p>
      <w:pPr>
        <w:spacing w:after="0" w:line="113"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50" w:lineRule="exact"/>
        <w:rPr>
          <w:rFonts w:ascii="Arial" w:cs="Arial" w:eastAsia="Arial" w:hAnsi="Arial"/>
          <w:sz w:val="18"/>
          <w:szCs w:val="18"/>
          <w:color w:val="auto"/>
        </w:rPr>
      </w:pPr>
    </w:p>
    <w:p>
      <w:pPr>
        <w:ind w:left="660" w:right="60" w:hanging="206"/>
        <w:spacing w:after="0" w:line="29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have engaged in transactions with our affiliates and expect to do so in the future. The terms of such transactions and the resolution of any conflicts that may arise may not always be in our or our stockholders’ best interests.</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engaged in transactions and expect to continue to engage in transactions with affiliated companies. As described in our most recent Annual Report on Form 10-K, subsequent Quarterly Report on Form 10-Q and in the section entitled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 in our most recent proxy statement on Schedule 14A, each of which is incorporated by reference herein, these transactions include, among others, drilling services provided to us by Bison Drilling and Field Services, LLC, real property leased by us from Fasken Midland, LLC, and hydraulic fracturing sand purchased by us from Muskie Proppant LLC. Each of these entities is either controlled by or affiliated with Wexford, and the resolution of any conflicts that may arise in connection with such related party transactions, including pricing, duration or other terms of service, may not always be in our or our stockholders’ best interests because Wexford may have the ability to influence the outcome of these conflicts. For a discussion of potential conflicts, see “—</w:t>
      </w:r>
      <w:r>
        <w:rPr>
          <w:rFonts w:ascii="Arial" w:cs="Arial" w:eastAsia="Arial" w:hAnsi="Arial"/>
          <w:sz w:val="16"/>
          <w:szCs w:val="16"/>
          <w:i w:val="1"/>
          <w:iCs w:val="1"/>
          <w:color w:val="auto"/>
        </w:rPr>
        <w:t>Risks Related to this Offering and our Common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The interests of one of our stockholders may conflict with those of our other stockholders</w:t>
      </w:r>
      <w:r>
        <w:rPr>
          <w:rFonts w:ascii="Arial" w:cs="Arial" w:eastAsia="Arial" w:hAnsi="Arial"/>
          <w:sz w:val="16"/>
          <w:szCs w:val="16"/>
          <w:color w:val="auto"/>
        </w:rPr>
        <w:t>” on page S-9 of this prospectus supplement.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or the perception that such future sales may occur, may cause our stock price to decline.</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Sales of substantial amounts of our common stock in the public market, or the perception that these sales may occur, could cause the market price of our common stock to decline. In addition, the sale of such shares, or the perception that such sales may occur, could impair our ability to raise capital through the sale of additional common or preferred stock. Except for any shares purchased by our affiliates, all of the shares of common stock sold in our initial public offering and our subsequent equity offerings are, and all of the shares of common stock sold in this offering will be, freely tradable. In connection with this offering, we agreed that, subject to certain exceptions, we will not offer, sell, contract to sell, pledge or otherwise dispose of, directly or indirectly, or file with the SEC a registration statement under the Securities Act of 1933, as amended, or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45 days after the date of this prospectus supplement. Further, our directors and executive officers are subject to agreements that limit their ability to sell our common stock held by them. These holders cannot sell or otherwise dispose of any shares of our common stock for a period of 45 days after the date of this prospectus supplement without the prior written approval of Credit Suisse Securities (USA) LLC. The lock-up agreements with our directors and executive officers are also subject to certain specific exceptions, including transfers of common stock as a bona fide gift or by will or intestate succession and transfers to such person’s immediate family or to a trust or to an entity controlled by such holder, provided that the recipient of the shares agrees to be bound by the same restrictions on sales and the right of such individuals to sell up to 300,000 shares in the aggregate. In the event that one or more of our stockholders sells a substantial amount of our common stock in the public market, or the market perceives that such sales may occur, the price of our stock could decline.</w:t>
      </w:r>
    </w:p>
    <w:p>
      <w:pPr>
        <w:spacing w:after="0" w:line="20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4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issue preferred stock whose terms could adversely affect the voting power or value of our common stock.</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19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Provisions in our certificate of incorporation and bylaws and Delaware law make it more difficult to effect a change in control of the Company, which could adversely affect the price of our common stock.</w:t>
      </w:r>
    </w:p>
    <w:p>
      <w:pPr>
        <w:spacing w:after="0" w:line="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w:t>
      </w:r>
    </w:p>
    <w:p>
      <w:pPr>
        <w:spacing w:after="0" w:line="59" w:lineRule="exact"/>
        <w:rPr>
          <w:sz w:val="20"/>
          <w:szCs w:val="20"/>
          <w:color w:val="auto"/>
        </w:rPr>
      </w:pPr>
    </w:p>
    <w:p>
      <w:pPr>
        <w:ind w:left="660" w:right="82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regulating the ability of our stockholders to nominate directors for election or to bring matters for action at annual meetings of our stockholders;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the ability of our stockholders to call a special meeting and act by written consent;</w:t>
      </w:r>
    </w:p>
    <w:p>
      <w:pPr>
        <w:spacing w:after="0" w:line="90"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ability of our board of directors to adopt, amend or repeal our bylaws, and the requirement that the affirmative vote of holders representing at least 66 2/3% of the voting power of all outstanding shares of capital stock be obtained for stockholders to amend our bylaws;</w:t>
      </w:r>
    </w:p>
    <w:p>
      <w:pPr>
        <w:spacing w:after="0" w:line="4" w:lineRule="exact"/>
        <w:rPr>
          <w:rFonts w:ascii="Arial" w:cs="Arial" w:eastAsia="Arial" w:hAnsi="Arial"/>
          <w:sz w:val="16"/>
          <w:szCs w:val="16"/>
          <w:color w:val="auto"/>
        </w:rPr>
      </w:pPr>
    </w:p>
    <w:p>
      <w:pPr>
        <w:ind w:left="660" w:right="5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remove directors;</w:t>
      </w:r>
    </w:p>
    <w:p>
      <w:pPr>
        <w:spacing w:after="0" w:line="50" w:lineRule="exact"/>
        <w:rPr>
          <w:rFonts w:ascii="Arial" w:cs="Arial" w:eastAsia="Arial" w:hAnsi="Arial"/>
          <w:sz w:val="18"/>
          <w:szCs w:val="18"/>
          <w:color w:val="auto"/>
        </w:rPr>
      </w:pPr>
    </w:p>
    <w:p>
      <w:pPr>
        <w:ind w:left="660" w:right="5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amend our certificate of incorporation;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authorization given to our board of directors to issue and set the terms of preferred stock without the approval of our stockholders.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21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do not intend to pay cash dividends on our common stock in the foreseeable future and, therefore, only appreciation of the price of our common stock will provide a return to our stockholders.</w:t>
      </w:r>
    </w:p>
    <w:p>
      <w:pPr>
        <w:spacing w:after="0" w:line="4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not paid dividends since our inception and we currently anticipate that we will retain all future earnings, if any, to finance the growth and development of our business. We do not intend to pay cash dividends in the foreseeable future. Any future determination as to the declaration and payment of cash dividends will be at the discretion of our board of directors and will depend upon our financial condition, results of operations, contractual restrictions, capital requirements, business prospects and other factors deemed relevant by our board of directors. In addition, the terms of our revolving credit facility prohibit us from paying dividends and making other distributions. As a result, only appreciation of the price of our common stock, which may not occur, will provide a return to our stockholders.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prospectus supplement and the accompanying prospectus, including the documents incorporated by reference, contain forward-looking statements. These forward-looking statements are subject to a number of risks and uncertainties, many of which are beyond our control, which may include statements about our:</w:t>
      </w:r>
    </w:p>
    <w:p>
      <w:pPr>
        <w:spacing w:after="0" w:line="59"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successfully identify, complete and integrate acquisitions of properties or businesses, including our Pending Acquisition (see “</w:t>
      </w:r>
      <w:r>
        <w:rPr>
          <w:rFonts w:ascii="Arial" w:cs="Arial" w:eastAsia="Arial" w:hAnsi="Arial"/>
          <w:sz w:val="18"/>
          <w:szCs w:val="18"/>
          <w:i w:val="1"/>
          <w:iCs w:val="1"/>
          <w:color w:val="auto"/>
        </w:rPr>
        <w:t>Prospectus</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 Summary—Recent Developments—Pending Acquisition</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of these types of statements, other than statements of historical fact included or incorporated by reference in this prospectus supplement and the accompanying prospectus, are forward-looking statements. These forward-looking statements may be found in “</w:t>
      </w:r>
      <w:r>
        <w:rPr>
          <w:rFonts w:ascii="Arial" w:cs="Arial" w:eastAsia="Arial" w:hAnsi="Arial"/>
          <w:sz w:val="16"/>
          <w:szCs w:val="16"/>
          <w:i w:val="1"/>
          <w:iCs w:val="1"/>
          <w:color w:val="auto"/>
        </w:rPr>
        <w:t>Prospectus Supplement Summary</w:t>
      </w:r>
      <w:r>
        <w:rPr>
          <w:rFonts w:ascii="Arial" w:cs="Arial" w:eastAsia="Arial" w:hAnsi="Arial"/>
          <w:sz w:val="16"/>
          <w:szCs w:val="16"/>
          <w:color w:val="auto"/>
        </w:rPr>
        <w:t>” and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beginning on pages S-1 and S-7, respectively, of this prospectus supplement, in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Business</w:t>
      </w:r>
      <w:r>
        <w:rPr>
          <w:rFonts w:ascii="Arial" w:cs="Arial" w:eastAsia="Arial" w:hAnsi="Arial"/>
          <w:sz w:val="16"/>
          <w:szCs w:val="16"/>
          <w:color w:val="auto"/>
        </w:rPr>
        <w:t>” and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as applicable, in our most recent Annual Report on Form 10-K and subsequent Quarterly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10-Q incorporated by reference herein and elsewhere in this prospectus supplement and the accompanying prospectus and the documents incorporated by reference herein. In some cases, you can identify forward-looking statements by terminology such as “may,” “could,” “should,” “expect,” “plan,” “project,” “intend,” “anticipate,” “believe,” “estimate,” “predict,” “potential,” “pursue,” “target,” “seek,” “objective” or “continue,” the negative of such terms or other comparable terminology.</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forward-looking statements contained or incorporated by reference in this prospectus supplement and the accompanying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 addition, our management’s assumptions about future events may prove to be inaccurate. Our management cautions all readers that the forward-looking statements contained or incorporated by reference in this prospectus supplement and the accompanying prospectus are not guarantees of future performance, and we cannot assure any reader that such statements will be realized or the forward-looking events and circumstances will occur. Actual results may differ materially from those anticipated or implied in the forward-looking statements due to the many factors including those described under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supplement and the accompanying prospectus and in our most recent Annual Report on Form 10-K and subsequent Quarterly Report on Form 10-Q and other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filings we make with the SEC incorporated by reference herein and elsewhere in this prospectus supplement and the accompanying prospectus. All forward-looking statements contained in this prospectus supplement and the accompanying prospectus or included in a document incorporated by reference herein speak only as of the date hereof or thereof, respectively. We do not intend to publicly update or revise any forward-looking statements as a result of new information, future events or otherwise. These cautionary statements qualify all forward-looking statements attributable to us or persons acting on our behalf.</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estimate that our net proceeds from the sale of 5,500,000 shares of our common stock in this offering will be approximately $479.7 million, after deducting underwriting discounts and commissions and estimated offering expenses, or approximately $551.7 million if the underwriters exercise the option granted by us in full. We intend to use the net proceeds from this offering, together with cash on hand, to fund the purchase price for the Pending Acquisition (see “</w:t>
      </w:r>
      <w:r>
        <w:rPr>
          <w:rFonts w:ascii="Arial" w:cs="Arial" w:eastAsia="Arial" w:hAnsi="Arial"/>
          <w:sz w:val="15"/>
          <w:szCs w:val="15"/>
          <w:i w:val="1"/>
          <w:iCs w:val="1"/>
          <w:color w:val="auto"/>
        </w:rPr>
        <w:t>Prospectus Supplement Summary—Recent Developments—Pending Acquisition</w:t>
      </w:r>
      <w:r>
        <w:rPr>
          <w:rFonts w:ascii="Arial" w:cs="Arial" w:eastAsia="Arial" w:hAnsi="Arial"/>
          <w:sz w:val="15"/>
          <w:szCs w:val="15"/>
          <w:color w:val="auto"/>
        </w:rPr>
        <w:t>”). We intend to use any net proceeds received upon exercise of the underwriters’ 30-day option to purchase additional shares (plus any additional proceeds that may become available if the Pending Acquisition is not consummated or the purchase price is reduced because we acquire less than all of the oil and natural gas assets subject to the purchase agreement) to fund a portion of our exploration and development activities and for general corporate purposes, which may include leasehold interest and property acquisitions and working capital.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for use in the operation and expansion of our business and do not anticipate declaring or paying any cash dividends in the foreseeable future. Any future determination as to the declaration and payment of dividends will be at the discretion of our board of directors and will depend on then-existing conditions, including our financial condition, results of operations, contractual restrictions, capital requirements, business prospects and other factors that our board of directors considers relevant. In addition, the terms of our revolving credit facility restrict the payment of dividends to the holders of our common stock and any other equity 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unaudited cash and cash equivalents and capitalization as of March 31, 2016:</w:t>
      </w:r>
    </w:p>
    <w:p>
      <w:pPr>
        <w:spacing w:after="0" w:line="90"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660" w:right="220" w:hanging="206"/>
        <w:spacing w:after="0" w:line="29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adjusted to give effect to (i) the sale of 5,500,000 shares of our common stock in this offering and our receipt of an estimated $479.8 million of net proceeds from this offering, after deducting underwriting discounts and commissions and estimated offering expenses, and (ii) the use of the net proceeds from this offering to fund the purchase price of our Pending Acquisition described under the caption “</w:t>
      </w:r>
      <w:r>
        <w:rPr>
          <w:rFonts w:ascii="Arial" w:cs="Arial" w:eastAsia="Arial" w:hAnsi="Arial"/>
          <w:sz w:val="16"/>
          <w:szCs w:val="16"/>
          <w:i w:val="1"/>
          <w:iCs w:val="1"/>
          <w:color w:val="auto"/>
        </w:rPr>
        <w:t>Prospectus Supplement Summary—</w:t>
      </w:r>
      <w:r>
        <w:rPr>
          <w:rFonts w:ascii="Arial" w:cs="Arial" w:eastAsia="Arial" w:hAnsi="Arial"/>
          <w:sz w:val="16"/>
          <w:szCs w:val="16"/>
          <w:color w:val="auto"/>
        </w:rPr>
        <w:t xml:space="preserve"> </w:t>
      </w:r>
      <w:r>
        <w:rPr>
          <w:rFonts w:ascii="Arial" w:cs="Arial" w:eastAsia="Arial" w:hAnsi="Arial"/>
          <w:sz w:val="16"/>
          <w:szCs w:val="16"/>
          <w:i w:val="1"/>
          <w:iCs w:val="1"/>
          <w:color w:val="auto"/>
        </w:rPr>
        <w:t>Recent Developments—Pending Acquisition</w:t>
      </w:r>
      <w:r>
        <w:rPr>
          <w:rFonts w:ascii="Arial" w:cs="Arial" w:eastAsia="Arial" w:hAnsi="Arial"/>
          <w:sz w:val="16"/>
          <w:szCs w:val="16"/>
          <w:color w:val="auto"/>
        </w:rPr>
        <w:t>.” See “</w:t>
      </w:r>
      <w:r>
        <w:rPr>
          <w:rFonts w:ascii="Arial" w:cs="Arial" w:eastAsia="Arial" w:hAnsi="Arial"/>
          <w:sz w:val="16"/>
          <w:szCs w:val="16"/>
          <w:i w:val="1"/>
          <w:iCs w:val="1"/>
          <w:color w:val="auto"/>
        </w:rPr>
        <w:t>Use of Proceeds</w:t>
      </w:r>
      <w:r>
        <w:rPr>
          <w:rFonts w:ascii="Arial" w:cs="Arial" w:eastAsia="Arial" w:hAnsi="Arial"/>
          <w:sz w:val="16"/>
          <w:szCs w:val="16"/>
          <w:color w:val="auto"/>
        </w:rPr>
        <w:t>” on page S-14.</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should be read in conjunction with, and is qualified in its entirety by reference to, “</w:t>
      </w:r>
      <w:r>
        <w:rPr>
          <w:rFonts w:ascii="Arial" w:cs="Arial" w:eastAsia="Arial" w:hAnsi="Arial"/>
          <w:sz w:val="18"/>
          <w:szCs w:val="18"/>
          <w:i w:val="1"/>
          <w:iCs w:val="1"/>
          <w:color w:val="auto"/>
        </w:rPr>
        <w:t>Use of Proceeds</w:t>
      </w:r>
      <w:r>
        <w:rPr>
          <w:rFonts w:ascii="Arial" w:cs="Arial" w:eastAsia="Arial" w:hAnsi="Arial"/>
          <w:sz w:val="18"/>
          <w:szCs w:val="18"/>
          <w:color w:val="auto"/>
        </w:rPr>
        <w:t>” in this prospectus supplement and with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combined consolidated financial statements and related notes included in our most recent Annual Report on Form 10-K and subsequent Quarterly Report on Form 10-Q, which are incorporated by reference into this prospectus supplement and the accompanying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As of March 31, 2016</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As 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235,810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ind w:left="1380"/>
              <w:spacing w:after="0"/>
              <w:rPr>
                <w:sz w:val="20"/>
                <w:szCs w:val="20"/>
                <w:color w:val="auto"/>
              </w:rPr>
            </w:pPr>
            <w:r>
              <w:rPr>
                <w:rFonts w:ascii="Arial" w:cs="Arial" w:eastAsia="Arial" w:hAnsi="Arial"/>
                <w:sz w:val="18"/>
                <w:szCs w:val="18"/>
                <w:color w:val="auto"/>
              </w:rPr>
              <w:t>Long-term debt, including current maturities:</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credit facility(1)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gridSpan w:val="2"/>
          </w:tcPr>
          <w:p>
            <w:pPr>
              <w:ind w:left="440"/>
              <w:spacing w:after="0"/>
              <w:rPr>
                <w:sz w:val="20"/>
                <w:szCs w:val="20"/>
                <w:color w:val="auto"/>
              </w:rPr>
            </w:pPr>
            <w:r>
              <w:rPr>
                <w:rFonts w:ascii="Arial" w:cs="Arial" w:eastAsia="Arial" w:hAnsi="Arial"/>
                <w:sz w:val="18"/>
                <w:szCs w:val="18"/>
                <w:color w:val="auto"/>
              </w:rPr>
              <w:t>7.625% senior notes due 2021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Unamortized debt issuance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980" w:type="dxa"/>
            <w:vAlign w:val="bottom"/>
            <w:gridSpan w:val="2"/>
          </w:tcPr>
          <w:p>
            <w:pPr>
              <w:ind w:left="440"/>
              <w:spacing w:after="0"/>
              <w:rPr>
                <w:sz w:val="20"/>
                <w:szCs w:val="20"/>
                <w:color w:val="auto"/>
              </w:rPr>
            </w:pPr>
            <w:r>
              <w:rPr>
                <w:rFonts w:ascii="Arial" w:cs="Arial" w:eastAsia="Arial" w:hAnsi="Arial"/>
                <w:sz w:val="18"/>
                <w:szCs w:val="18"/>
                <w:color w:val="auto"/>
              </w:rPr>
              <w:t>Partnership revolving credit facility</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long-term debt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485,641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gridSpan w:val="3"/>
          </w:tcPr>
          <w:p>
            <w:pPr>
              <w:ind w:left="138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par value $0.01; 100,000,000 shares authorized and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66,797,041 shares issued and outstanding actual and 72,297,041 shares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5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issued and outstanding as adjusted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gridSpan w:val="2"/>
          </w:tcPr>
          <w:p>
            <w:pPr>
              <w:ind w:left="44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2,494,467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2,974,093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 (Accumulated deficit)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(387,272)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(387,272)</w:t>
            </w:r>
          </w:p>
        </w:tc>
        <w:tc>
          <w:tcPr>
            <w:tcW w:w="0" w:type="dxa"/>
            <w:vAlign w:val="bottom"/>
          </w:tcPr>
          <w:p>
            <w:pPr>
              <w:spacing w:after="0"/>
              <w:rPr>
                <w:sz w:val="1"/>
                <w:szCs w:val="1"/>
                <w:color w:val="auto"/>
              </w:rPr>
            </w:pPr>
          </w:p>
        </w:tc>
      </w:tr>
      <w:tr>
        <w:trPr>
          <w:trHeight w:val="230"/>
        </w:trPr>
        <w:tc>
          <w:tcPr>
            <w:tcW w:w="7360" w:type="dxa"/>
            <w:vAlign w:val="bottom"/>
            <w:gridSpan w:val="3"/>
          </w:tcPr>
          <w:p>
            <w:pPr>
              <w:ind w:left="1380"/>
              <w:spacing w:after="0"/>
              <w:rPr>
                <w:sz w:val="20"/>
                <w:szCs w:val="20"/>
                <w:color w:val="auto"/>
              </w:rPr>
            </w:pPr>
            <w:r>
              <w:rPr>
                <w:rFonts w:ascii="Arial" w:cs="Arial" w:eastAsia="Arial" w:hAnsi="Arial"/>
                <w:sz w:val="18"/>
                <w:szCs w:val="18"/>
                <w:color w:val="auto"/>
              </w:rPr>
              <w:t>Total Diamondback Energy, Inc. stockholders’ equity</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2,107,912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2,587,593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3"/>
          </w:tcPr>
          <w:p>
            <w:pPr>
              <w:ind w:left="138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2,337,056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2,816,737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2,822,697</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3,302,378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3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July 12, 2016, no borrowings were outstanding under our revolving credit facility, and we had available borrowing capacity of $500.0 million. As of July 12, 2016, Viper had $51.5 million outstanding under the partnership revolving credit facility and available borrowing capacity of $123.5 million.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is listed and traded on the NASDAQ Global Select Market under the symbol “FANG.” The following table sets forth the range of high and low sales prices of our common stock as reported on the NASDAQ Global Select Market for the periods presented: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Year</w:t>
            </w:r>
          </w:p>
        </w:tc>
        <w:tc>
          <w:tcPr>
            <w:tcW w:w="3220" w:type="dxa"/>
            <w:vAlign w:val="bottom"/>
          </w:tcPr>
          <w:p>
            <w:pPr>
              <w:spacing w:after="0"/>
              <w:rPr>
                <w:sz w:val="14"/>
                <w:szCs w:val="14"/>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Quarter</w:t>
            </w:r>
          </w:p>
        </w:tc>
        <w:tc>
          <w:tcPr>
            <w:tcW w:w="12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216"/>
        </w:trPr>
        <w:tc>
          <w:tcPr>
            <w:tcW w:w="2700" w:type="dxa"/>
            <w:vAlign w:val="bottom"/>
            <w:tcBorders>
              <w:top w:val="single" w:sz="8" w:color="CCEEFF"/>
            </w:tcBorders>
            <w:shd w:val="clear" w:color="auto" w:fill="CCEEFF"/>
          </w:tcPr>
          <w:p>
            <w:pPr>
              <w:jc w:val="right"/>
              <w:ind w:right="2252"/>
              <w:spacing w:after="0"/>
              <w:rPr>
                <w:sz w:val="20"/>
                <w:szCs w:val="20"/>
                <w:color w:val="auto"/>
              </w:rPr>
            </w:pPr>
            <w:r>
              <w:rPr>
                <w:rFonts w:ascii="Arial" w:cs="Arial" w:eastAsia="Arial" w:hAnsi="Arial"/>
                <w:sz w:val="18"/>
                <w:szCs w:val="18"/>
                <w:color w:val="auto"/>
                <w:w w:val="84"/>
              </w:rPr>
              <w:t>2013</w:t>
            </w:r>
          </w:p>
        </w:tc>
        <w:tc>
          <w:tcPr>
            <w:tcW w:w="28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w:t>
            </w:r>
            <w:r>
              <w:rPr>
                <w:rFonts w:ascii="Arial" w:cs="Arial" w:eastAsia="Arial" w:hAnsi="Arial"/>
                <w:sz w:val="11"/>
                <w:szCs w:val="11"/>
                <w:color w:val="auto"/>
                <w:w w:val="96"/>
              </w:rPr>
              <w:t>st</w:t>
            </w:r>
            <w:r>
              <w:rPr>
                <w:rFonts w:ascii="Arial" w:cs="Arial" w:eastAsia="Arial" w:hAnsi="Arial"/>
                <w:sz w:val="18"/>
                <w:szCs w:val="18"/>
                <w:color w:val="auto"/>
                <w:w w:val="96"/>
              </w:rPr>
              <w:t xml:space="preserve"> Quarter</w:t>
            </w:r>
          </w:p>
        </w:tc>
        <w:tc>
          <w:tcPr>
            <w:tcW w:w="7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$27.21</w:t>
            </w:r>
          </w:p>
        </w:tc>
        <w:tc>
          <w:tcPr>
            <w:tcW w:w="7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jc w:val="right"/>
              <w:ind w:right="2252"/>
              <w:spacing w:after="0"/>
              <w:rPr>
                <w:sz w:val="20"/>
                <w:szCs w:val="20"/>
                <w:color w:val="auto"/>
              </w:rPr>
            </w:pPr>
            <w:r>
              <w:rPr>
                <w:rFonts w:ascii="Arial" w:cs="Arial" w:eastAsia="Arial" w:hAnsi="Arial"/>
                <w:sz w:val="18"/>
                <w:szCs w:val="18"/>
                <w:color w:val="auto"/>
                <w:w w:val="84"/>
              </w:rPr>
              <w:t>2013</w:t>
            </w: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2"/>
              </w:rPr>
              <w:t>2</w:t>
            </w:r>
            <w:r>
              <w:rPr>
                <w:rFonts w:ascii="Arial" w:cs="Arial" w:eastAsia="Arial" w:hAnsi="Arial"/>
                <w:sz w:val="11"/>
                <w:szCs w:val="11"/>
                <w:color w:val="auto"/>
                <w:w w:val="92"/>
              </w:rPr>
              <w:t>nd</w:t>
            </w:r>
            <w:r>
              <w:rPr>
                <w:rFonts w:ascii="Arial" w:cs="Arial" w:eastAsia="Arial" w:hAnsi="Arial"/>
                <w:sz w:val="18"/>
                <w:szCs w:val="18"/>
                <w:color w:val="auto"/>
                <w:w w:val="92"/>
              </w:rPr>
              <w:t xml:space="preserve">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$35.91</w:t>
            </w:r>
          </w:p>
        </w:tc>
        <w:tc>
          <w:tcPr>
            <w:tcW w:w="7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$23.83</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jc w:val="right"/>
              <w:ind w:right="2252"/>
              <w:spacing w:after="0"/>
              <w:rPr>
                <w:sz w:val="20"/>
                <w:szCs w:val="20"/>
                <w:color w:val="auto"/>
              </w:rPr>
            </w:pPr>
            <w:r>
              <w:rPr>
                <w:rFonts w:ascii="Arial" w:cs="Arial" w:eastAsia="Arial" w:hAnsi="Arial"/>
                <w:sz w:val="18"/>
                <w:szCs w:val="18"/>
                <w:color w:val="auto"/>
                <w:w w:val="84"/>
              </w:rPr>
              <w:t>2013</w:t>
            </w:r>
          </w:p>
        </w:tc>
        <w:tc>
          <w:tcPr>
            <w:tcW w:w="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w:t>
            </w:r>
            <w:r>
              <w:rPr>
                <w:rFonts w:ascii="Arial" w:cs="Arial" w:eastAsia="Arial" w:hAnsi="Arial"/>
                <w:sz w:val="11"/>
                <w:szCs w:val="11"/>
                <w:color w:val="auto"/>
                <w:w w:val="95"/>
              </w:rPr>
              <w:t>rd</w:t>
            </w:r>
            <w:r>
              <w:rPr>
                <w:rFonts w:ascii="Arial" w:cs="Arial" w:eastAsia="Arial" w:hAnsi="Arial"/>
                <w:sz w:val="18"/>
                <w:szCs w:val="18"/>
                <w:color w:val="auto"/>
                <w:w w:val="95"/>
              </w:rPr>
              <w:t xml:space="preserve">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$47.22</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$33.42</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jc w:val="right"/>
              <w:ind w:right="2252"/>
              <w:spacing w:after="0"/>
              <w:rPr>
                <w:sz w:val="20"/>
                <w:szCs w:val="20"/>
                <w:color w:val="auto"/>
              </w:rPr>
            </w:pPr>
            <w:r>
              <w:rPr>
                <w:rFonts w:ascii="Arial" w:cs="Arial" w:eastAsia="Arial" w:hAnsi="Arial"/>
                <w:sz w:val="18"/>
                <w:szCs w:val="18"/>
                <w:color w:val="auto"/>
                <w:w w:val="84"/>
              </w:rPr>
              <w:t>2013</w:t>
            </w: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6"/>
              </w:rPr>
              <w:t>4</w:t>
            </w:r>
            <w:r>
              <w:rPr>
                <w:rFonts w:ascii="Arial" w:cs="Arial" w:eastAsia="Arial" w:hAnsi="Arial"/>
                <w:sz w:val="11"/>
                <w:szCs w:val="11"/>
                <w:color w:val="auto"/>
                <w:w w:val="96"/>
              </w:rPr>
              <w:t>th</w:t>
            </w:r>
            <w:r>
              <w:rPr>
                <w:rFonts w:ascii="Arial" w:cs="Arial" w:eastAsia="Arial" w:hAnsi="Arial"/>
                <w:sz w:val="18"/>
                <w:szCs w:val="18"/>
                <w:color w:val="auto"/>
                <w:w w:val="96"/>
              </w:rPr>
              <w:t xml:space="preserve">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$58.71</w:t>
            </w:r>
          </w:p>
        </w:tc>
        <w:tc>
          <w:tcPr>
            <w:tcW w:w="7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$42.18</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jc w:val="right"/>
              <w:ind w:right="2252"/>
              <w:spacing w:after="0"/>
              <w:rPr>
                <w:sz w:val="20"/>
                <w:szCs w:val="20"/>
                <w:color w:val="auto"/>
              </w:rPr>
            </w:pPr>
            <w:r>
              <w:rPr>
                <w:rFonts w:ascii="Arial" w:cs="Arial" w:eastAsia="Arial" w:hAnsi="Arial"/>
                <w:sz w:val="18"/>
                <w:szCs w:val="18"/>
                <w:color w:val="auto"/>
                <w:w w:val="84"/>
              </w:rPr>
              <w:t>2014</w:t>
            </w:r>
          </w:p>
        </w:tc>
        <w:tc>
          <w:tcPr>
            <w:tcW w:w="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6"/>
              </w:rPr>
              <w:t>1</w:t>
            </w:r>
            <w:r>
              <w:rPr>
                <w:rFonts w:ascii="Arial" w:cs="Arial" w:eastAsia="Arial" w:hAnsi="Arial"/>
                <w:sz w:val="11"/>
                <w:szCs w:val="11"/>
                <w:color w:val="auto"/>
                <w:w w:val="96"/>
              </w:rPr>
              <w:t>st</w:t>
            </w:r>
            <w:r>
              <w:rPr>
                <w:rFonts w:ascii="Arial" w:cs="Arial" w:eastAsia="Arial" w:hAnsi="Arial"/>
                <w:sz w:val="18"/>
                <w:szCs w:val="18"/>
                <w:color w:val="auto"/>
                <w:w w:val="96"/>
              </w:rPr>
              <w:t xml:space="preserve">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$70.99</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$44.02</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jc w:val="right"/>
              <w:ind w:right="2252"/>
              <w:spacing w:after="0"/>
              <w:rPr>
                <w:sz w:val="20"/>
                <w:szCs w:val="20"/>
                <w:color w:val="auto"/>
              </w:rPr>
            </w:pPr>
            <w:r>
              <w:rPr>
                <w:rFonts w:ascii="Arial" w:cs="Arial" w:eastAsia="Arial" w:hAnsi="Arial"/>
                <w:sz w:val="18"/>
                <w:szCs w:val="18"/>
                <w:color w:val="auto"/>
                <w:w w:val="84"/>
              </w:rPr>
              <w:t>2014</w:t>
            </w: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2"/>
              </w:rPr>
              <w:t>2</w:t>
            </w:r>
            <w:r>
              <w:rPr>
                <w:rFonts w:ascii="Arial" w:cs="Arial" w:eastAsia="Arial" w:hAnsi="Arial"/>
                <w:sz w:val="11"/>
                <w:szCs w:val="11"/>
                <w:color w:val="auto"/>
                <w:w w:val="92"/>
              </w:rPr>
              <w:t>nd</w:t>
            </w:r>
            <w:r>
              <w:rPr>
                <w:rFonts w:ascii="Arial" w:cs="Arial" w:eastAsia="Arial" w:hAnsi="Arial"/>
                <w:sz w:val="18"/>
                <w:szCs w:val="18"/>
                <w:color w:val="auto"/>
                <w:w w:val="92"/>
              </w:rPr>
              <w:t xml:space="preserve">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$93.33</w:t>
            </w:r>
          </w:p>
        </w:tc>
        <w:tc>
          <w:tcPr>
            <w:tcW w:w="7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$64.05</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jc w:val="right"/>
              <w:ind w:right="2252"/>
              <w:spacing w:after="0"/>
              <w:rPr>
                <w:sz w:val="20"/>
                <w:szCs w:val="20"/>
                <w:color w:val="auto"/>
              </w:rPr>
            </w:pPr>
            <w:r>
              <w:rPr>
                <w:rFonts w:ascii="Arial" w:cs="Arial" w:eastAsia="Arial" w:hAnsi="Arial"/>
                <w:sz w:val="18"/>
                <w:szCs w:val="18"/>
                <w:color w:val="auto"/>
                <w:w w:val="84"/>
              </w:rPr>
              <w:t>2014</w:t>
            </w:r>
          </w:p>
        </w:tc>
        <w:tc>
          <w:tcPr>
            <w:tcW w:w="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w:t>
            </w:r>
            <w:r>
              <w:rPr>
                <w:rFonts w:ascii="Arial" w:cs="Arial" w:eastAsia="Arial" w:hAnsi="Arial"/>
                <w:sz w:val="11"/>
                <w:szCs w:val="11"/>
                <w:color w:val="auto"/>
                <w:w w:val="95"/>
              </w:rPr>
              <w:t>rd</w:t>
            </w:r>
            <w:r>
              <w:rPr>
                <w:rFonts w:ascii="Arial" w:cs="Arial" w:eastAsia="Arial" w:hAnsi="Arial"/>
                <w:sz w:val="18"/>
                <w:szCs w:val="18"/>
                <w:color w:val="auto"/>
                <w:w w:val="95"/>
              </w:rPr>
              <w:t xml:space="preserve">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$90.48</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$70.66</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jc w:val="right"/>
              <w:ind w:right="2252"/>
              <w:spacing w:after="0"/>
              <w:rPr>
                <w:sz w:val="20"/>
                <w:szCs w:val="20"/>
                <w:color w:val="auto"/>
              </w:rPr>
            </w:pPr>
            <w:r>
              <w:rPr>
                <w:rFonts w:ascii="Arial" w:cs="Arial" w:eastAsia="Arial" w:hAnsi="Arial"/>
                <w:sz w:val="18"/>
                <w:szCs w:val="18"/>
                <w:color w:val="auto"/>
                <w:w w:val="84"/>
              </w:rPr>
              <w:t>2014</w:t>
            </w: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6"/>
              </w:rPr>
              <w:t>4</w:t>
            </w:r>
            <w:r>
              <w:rPr>
                <w:rFonts w:ascii="Arial" w:cs="Arial" w:eastAsia="Arial" w:hAnsi="Arial"/>
                <w:sz w:val="11"/>
                <w:szCs w:val="11"/>
                <w:color w:val="auto"/>
                <w:w w:val="96"/>
              </w:rPr>
              <w:t>th</w:t>
            </w:r>
            <w:r>
              <w:rPr>
                <w:rFonts w:ascii="Arial" w:cs="Arial" w:eastAsia="Arial" w:hAnsi="Arial"/>
                <w:sz w:val="18"/>
                <w:szCs w:val="18"/>
                <w:color w:val="auto"/>
                <w:w w:val="96"/>
              </w:rPr>
              <w:t xml:space="preserve">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$76.94</w:t>
            </w:r>
          </w:p>
        </w:tc>
        <w:tc>
          <w:tcPr>
            <w:tcW w:w="7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$51.69</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jc w:val="right"/>
              <w:ind w:right="2252"/>
              <w:spacing w:after="0"/>
              <w:rPr>
                <w:sz w:val="20"/>
                <w:szCs w:val="20"/>
                <w:color w:val="auto"/>
              </w:rPr>
            </w:pPr>
            <w:r>
              <w:rPr>
                <w:rFonts w:ascii="Arial" w:cs="Arial" w:eastAsia="Arial" w:hAnsi="Arial"/>
                <w:sz w:val="18"/>
                <w:szCs w:val="18"/>
                <w:color w:val="auto"/>
                <w:w w:val="84"/>
              </w:rPr>
              <w:t>2015</w:t>
            </w:r>
          </w:p>
        </w:tc>
        <w:tc>
          <w:tcPr>
            <w:tcW w:w="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6"/>
              </w:rPr>
              <w:t>1</w:t>
            </w:r>
            <w:r>
              <w:rPr>
                <w:rFonts w:ascii="Arial" w:cs="Arial" w:eastAsia="Arial" w:hAnsi="Arial"/>
                <w:sz w:val="11"/>
                <w:szCs w:val="11"/>
                <w:color w:val="auto"/>
                <w:w w:val="96"/>
              </w:rPr>
              <w:t>st</w:t>
            </w:r>
            <w:r>
              <w:rPr>
                <w:rFonts w:ascii="Arial" w:cs="Arial" w:eastAsia="Arial" w:hAnsi="Arial"/>
                <w:sz w:val="18"/>
                <w:szCs w:val="18"/>
                <w:color w:val="auto"/>
                <w:w w:val="96"/>
              </w:rPr>
              <w:t xml:space="preserve">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$78.75</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$55.53</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jc w:val="right"/>
              <w:ind w:right="2252"/>
              <w:spacing w:after="0"/>
              <w:rPr>
                <w:sz w:val="20"/>
                <w:szCs w:val="20"/>
                <w:color w:val="auto"/>
              </w:rPr>
            </w:pPr>
            <w:r>
              <w:rPr>
                <w:rFonts w:ascii="Arial" w:cs="Arial" w:eastAsia="Arial" w:hAnsi="Arial"/>
                <w:sz w:val="18"/>
                <w:szCs w:val="18"/>
                <w:color w:val="auto"/>
                <w:w w:val="84"/>
              </w:rPr>
              <w:t>2015</w:t>
            </w: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2"/>
              </w:rPr>
              <w:t>2</w:t>
            </w:r>
            <w:r>
              <w:rPr>
                <w:rFonts w:ascii="Arial" w:cs="Arial" w:eastAsia="Arial" w:hAnsi="Arial"/>
                <w:sz w:val="11"/>
                <w:szCs w:val="11"/>
                <w:color w:val="auto"/>
                <w:w w:val="92"/>
              </w:rPr>
              <w:t>nd</w:t>
            </w:r>
            <w:r>
              <w:rPr>
                <w:rFonts w:ascii="Arial" w:cs="Arial" w:eastAsia="Arial" w:hAnsi="Arial"/>
                <w:sz w:val="18"/>
                <w:szCs w:val="18"/>
                <w:color w:val="auto"/>
                <w:w w:val="92"/>
              </w:rPr>
              <w:t xml:space="preserve">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$85.82</w:t>
            </w:r>
          </w:p>
        </w:tc>
        <w:tc>
          <w:tcPr>
            <w:tcW w:w="7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$73.36</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jc w:val="right"/>
              <w:ind w:right="2252"/>
              <w:spacing w:after="0"/>
              <w:rPr>
                <w:sz w:val="20"/>
                <w:szCs w:val="20"/>
                <w:color w:val="auto"/>
              </w:rPr>
            </w:pPr>
            <w:r>
              <w:rPr>
                <w:rFonts w:ascii="Arial" w:cs="Arial" w:eastAsia="Arial" w:hAnsi="Arial"/>
                <w:sz w:val="18"/>
                <w:szCs w:val="18"/>
                <w:color w:val="auto"/>
                <w:w w:val="84"/>
              </w:rPr>
              <w:t>2015</w:t>
            </w:r>
          </w:p>
        </w:tc>
        <w:tc>
          <w:tcPr>
            <w:tcW w:w="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w:t>
            </w:r>
            <w:r>
              <w:rPr>
                <w:rFonts w:ascii="Arial" w:cs="Arial" w:eastAsia="Arial" w:hAnsi="Arial"/>
                <w:sz w:val="11"/>
                <w:szCs w:val="11"/>
                <w:color w:val="auto"/>
                <w:w w:val="95"/>
              </w:rPr>
              <w:t>rd</w:t>
            </w:r>
            <w:r>
              <w:rPr>
                <w:rFonts w:ascii="Arial" w:cs="Arial" w:eastAsia="Arial" w:hAnsi="Arial"/>
                <w:sz w:val="18"/>
                <w:szCs w:val="18"/>
                <w:color w:val="auto"/>
                <w:w w:val="95"/>
              </w:rPr>
              <w:t xml:space="preserve">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$77.36</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$60.28</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jc w:val="right"/>
              <w:ind w:right="2252"/>
              <w:spacing w:after="0"/>
              <w:rPr>
                <w:sz w:val="20"/>
                <w:szCs w:val="20"/>
                <w:color w:val="auto"/>
              </w:rPr>
            </w:pPr>
            <w:r>
              <w:rPr>
                <w:rFonts w:ascii="Arial" w:cs="Arial" w:eastAsia="Arial" w:hAnsi="Arial"/>
                <w:sz w:val="18"/>
                <w:szCs w:val="18"/>
                <w:color w:val="auto"/>
                <w:w w:val="84"/>
              </w:rPr>
              <w:t>2015</w:t>
            </w: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6"/>
              </w:rPr>
              <w:t>4</w:t>
            </w:r>
            <w:r>
              <w:rPr>
                <w:rFonts w:ascii="Arial" w:cs="Arial" w:eastAsia="Arial" w:hAnsi="Arial"/>
                <w:sz w:val="11"/>
                <w:szCs w:val="11"/>
                <w:color w:val="auto"/>
                <w:w w:val="96"/>
              </w:rPr>
              <w:t>th</w:t>
            </w:r>
            <w:r>
              <w:rPr>
                <w:rFonts w:ascii="Arial" w:cs="Arial" w:eastAsia="Arial" w:hAnsi="Arial"/>
                <w:sz w:val="18"/>
                <w:szCs w:val="18"/>
                <w:color w:val="auto"/>
                <w:w w:val="96"/>
              </w:rPr>
              <w:t xml:space="preserve">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$82.19</w:t>
            </w:r>
          </w:p>
        </w:tc>
        <w:tc>
          <w:tcPr>
            <w:tcW w:w="7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$61.51</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jc w:val="right"/>
              <w:ind w:right="2252"/>
              <w:spacing w:after="0"/>
              <w:rPr>
                <w:sz w:val="20"/>
                <w:szCs w:val="20"/>
                <w:color w:val="auto"/>
              </w:rPr>
            </w:pPr>
            <w:r>
              <w:rPr>
                <w:rFonts w:ascii="Arial" w:cs="Arial" w:eastAsia="Arial" w:hAnsi="Arial"/>
                <w:sz w:val="18"/>
                <w:szCs w:val="18"/>
                <w:color w:val="auto"/>
                <w:w w:val="84"/>
              </w:rPr>
              <w:t>2016</w:t>
            </w:r>
          </w:p>
        </w:tc>
        <w:tc>
          <w:tcPr>
            <w:tcW w:w="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6"/>
              </w:rPr>
              <w:t>1</w:t>
            </w:r>
            <w:r>
              <w:rPr>
                <w:rFonts w:ascii="Arial" w:cs="Arial" w:eastAsia="Arial" w:hAnsi="Arial"/>
                <w:sz w:val="11"/>
                <w:szCs w:val="11"/>
                <w:color w:val="auto"/>
                <w:w w:val="96"/>
              </w:rPr>
              <w:t>st</w:t>
            </w:r>
            <w:r>
              <w:rPr>
                <w:rFonts w:ascii="Arial" w:cs="Arial" w:eastAsia="Arial" w:hAnsi="Arial"/>
                <w:sz w:val="18"/>
                <w:szCs w:val="18"/>
                <w:color w:val="auto"/>
                <w:w w:val="96"/>
              </w:rPr>
              <w:t xml:space="preserve">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$79.87</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$55.48</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jc w:val="right"/>
              <w:ind w:right="2252"/>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2"/>
              </w:rPr>
              <w:t>2</w:t>
            </w:r>
            <w:r>
              <w:rPr>
                <w:rFonts w:ascii="Arial" w:cs="Arial" w:eastAsia="Arial" w:hAnsi="Arial"/>
                <w:sz w:val="11"/>
                <w:szCs w:val="11"/>
                <w:color w:val="auto"/>
                <w:w w:val="92"/>
              </w:rPr>
              <w:t>nd</w:t>
            </w:r>
            <w:r>
              <w:rPr>
                <w:rFonts w:ascii="Arial" w:cs="Arial" w:eastAsia="Arial" w:hAnsi="Arial"/>
                <w:sz w:val="18"/>
                <w:szCs w:val="18"/>
                <w:color w:val="auto"/>
                <w:w w:val="92"/>
              </w:rPr>
              <w:t xml:space="preserve">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$96.01</w:t>
            </w:r>
          </w:p>
        </w:tc>
        <w:tc>
          <w:tcPr>
            <w:tcW w:w="7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$73.12</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jc w:val="right"/>
              <w:ind w:right="2252"/>
              <w:spacing w:after="0"/>
              <w:rPr>
                <w:sz w:val="20"/>
                <w:szCs w:val="20"/>
                <w:color w:val="auto"/>
              </w:rPr>
            </w:pPr>
            <w:r>
              <w:rPr>
                <w:rFonts w:ascii="Arial" w:cs="Arial" w:eastAsia="Arial" w:hAnsi="Arial"/>
                <w:sz w:val="18"/>
                <w:szCs w:val="18"/>
                <w:color w:val="auto"/>
                <w:w w:val="84"/>
              </w:rPr>
              <w:t>2016</w:t>
            </w:r>
          </w:p>
        </w:tc>
        <w:tc>
          <w:tcPr>
            <w:tcW w:w="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3</w:t>
            </w:r>
            <w:r>
              <w:rPr>
                <w:rFonts w:ascii="Arial" w:cs="Arial" w:eastAsia="Arial" w:hAnsi="Arial"/>
                <w:sz w:val="11"/>
                <w:szCs w:val="11"/>
                <w:color w:val="auto"/>
                <w:w w:val="94"/>
              </w:rPr>
              <w:t>rd</w:t>
            </w:r>
            <w:r>
              <w:rPr>
                <w:rFonts w:ascii="Arial" w:cs="Arial" w:eastAsia="Arial" w:hAnsi="Arial"/>
                <w:sz w:val="18"/>
                <w:szCs w:val="18"/>
                <w:color w:val="auto"/>
                <w:w w:val="94"/>
              </w:rPr>
              <w:t xml:space="preserve"> Quarter(1)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$92.82</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$87.75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Through July 12, 2016.</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closing price of our common stock on the NASDAQ Global Select Market on July 12, 2016 was $91.96 per share. Immediately prior to this offering, we had 71,709,652 issued and outstanding shares of common stock, which were held by six holders of record. This number does not include owners for whom common stock may be held in “street” name or whose common stock is restricted.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00"/>
          </w:cols>
          <w:pgMar w:left="24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 FOR NON-U.S. HOLDERS</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is a general discussion of material U.S. federal income and estate tax consequences of the acquisition, ownership and disposition of our common stock by a non-U.S. holder (as defined below). This discussion deals only with common stock purchased in this offering that is held as a “capital asset” within the meaning of Section 1221 of the Internal Revenue Code of 1986, as amended, or the Code (generally, property held for investment), by a non-U.S. holder. Except as modified for estate tax purposes, the term “non-U.S. holder” means a beneficial owner of our common stock that is not a “U.S. person” or an entity treated as a partnership for U.S. federal income and estate tax purposes. A U.S. person is any of the following:</w:t>
      </w:r>
    </w:p>
    <w:p>
      <w:pPr>
        <w:spacing w:after="0" w:line="35"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trust, if a court within the United States is able to exercise primary supervision over the administration of the trust and one or more U.S. persons have authority to control all substantial decisions of the trust, or if it has a valid election in effect under applicable U.S. Treasury Regulations to be treated as a U.S. person.</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An individual may generally be treated as a resident of the United States in any calendar year for U.S. federal income tax purposes, by, among other ways, being present in the United States for at least 31 days in that calendar year and for an aggregate of at least 183 days during a three-year period ending in the current calendar year. For purposes of the 183-day calculation, all of the days present in the current year, one-third of the days present in the immediately preceding year and one-sixth of the days present in the second preceding year are counted. Residents are taxed for U.S. federal income tax purposes as if they were U.S. citizens.</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This discussion is based upon provisions of the Code, and Treasury Regulations, administrative rulings and judicial decisions, all as of the date hereof. Those authorities may be changed, perhaps retroactively, so as to result in U.S. federal income and estate tax consequences different from those discussed below. No ruling has been or will be sought from the Internal Revenue Service, or IRS, with respect to the matters discussed below, and there can be no assurance the IRS will not take a contrary position regarding the tax consequences of the acquisition, ownership or disposition of our common stock, or that such contrary position would not be sustained by a court. This discussion does not address all aspects of U.S. federal income and estate taxation, including the impact of the unearned income Medicare contribution tax and does not deal with other U.S. federal tax laws (such as gift tax laws) or foreign, state, local or other tax considerations that may be relevant to non-U.S. holders in light of their personal circumstances. In addition, this discussion does not address tax considerations applicable to investors that may be subject to special treatment under the U.S. federal income tax laws, such as (without limitation):</w:t>
      </w:r>
    </w:p>
    <w:p>
      <w:pPr>
        <w:spacing w:after="0" w:line="3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former U.S. citizens or residents;</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shareholders that hold our common stock as part of a straddle, constructive sale transaction, synthetic security, hedge, conversion transaction or other integrated investment or risk reduction transaction;</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shareholders that acquired our common stock through the exercise of employee stock options or otherwise as compensation or through a tax-qualified retirement plan;</w:t>
      </w:r>
    </w:p>
    <w:p>
      <w:pPr>
        <w:spacing w:after="0" w:line="5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shareholders that are partnerships or entities treated as partnerships for U.S. federal income tax purposes or other pass-through entities or owners thereof;</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shareholders that own, or are deemed to own, more than five percent (5%) of our outstanding common stock (except to the extent specifically set forth below);</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shareholders subject to the alternative minimum tax;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institutions, banks and thrifts;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or corporations that accumulate earnings to avoid U.S. federal income tax;</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broker-dealers or dealers in securities or foreign currencies;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traders in securities that use a mark-to-market method of accounting for U.S. federal income tax purposes.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 partnership (including an entity treated as a partnership for U.S. federal income tax purposes) holds our common stock, the U.S. federal income tax treatment of a partner generally will depend upon the status of the partner and the activities of the partnership. If you are a partner of a partnership (including an entity treated as a partnership for U.S. federal income tax purposes) holding our common stock, you should consult your tax advisor.</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DISCUSSION IS FOR GENERAL INFORMATION ONLY AND SHOULD NOT BE VIEWED AS TAX ADVICE. INVESTORS CONSIDERING THE PURCHASE OF OUR COMMON STOCK SHOULD CONSULT THEIR OWN TAX ADVISORS REGARDING THE APPLICATION OF THE U.S. FEDERAL INCOME AND ESTATE AND GIFT TAX LAWS TO THEIR PARTICULAR SITUATION AS WELL AS THE APPLICABILITY AND EFFECT OF ANY STATE, LOCAL OR FOREIGN TAX LAWS OR TAX TREATIES AND ANY OTHER U.S. FEDERAL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do not expect to pay any cash distributions on our common stock in the foreseeable future. However, in the event we do make such cash distributions, these distributions generally will constitute dividends for U.S. federal income tax purposes to the extent paid from our current or accumulated earnings and profits, as determined under U.S. federal income tax principles. If any such distribution exceeds our current and accumulated earnings and profits, the excess will be treated as a non-taxable return of capital to the extent of the non-U.S. holder’s tax basis in our common stock and thereafter as capital gain from the sale or exchange of such common stock. See “—</w:t>
      </w:r>
      <w:r>
        <w:rPr>
          <w:rFonts w:ascii="Arial" w:cs="Arial" w:eastAsia="Arial" w:hAnsi="Arial"/>
          <w:sz w:val="16"/>
          <w:szCs w:val="16"/>
          <w:i w:val="1"/>
          <w:iCs w:val="1"/>
          <w:color w:val="auto"/>
        </w:rPr>
        <w:t>Gain on Disposition of Common Stock</w:t>
      </w:r>
      <w:r>
        <w:rPr>
          <w:rFonts w:ascii="Arial" w:cs="Arial" w:eastAsia="Arial" w:hAnsi="Arial"/>
          <w:sz w:val="16"/>
          <w:szCs w:val="16"/>
          <w:color w:val="auto"/>
        </w:rPr>
        <w:t>” below. Dividends paid to a non-U.S. holder of our common stock that are not effectively connected with the non-U.S. holder’s conduct of a trade or business within the United States will be subject to U.S. withholding tax at a 30% rate, or if an income tax treaty applies, a lower rate specified by the treaty. In order to receive a reduced treaty rate, a non-U.S. holder must provide to us or our withholding agent IRS Form W-8BEN or W-8BEN-E (or applicable substitute or successor form for either) properly certifying eligibility for the reduced rate. Non-U.S. holders that do not timely provide us or our withholding agent with the required certification, but that qualify for a reduced treaty rate, may obtain a refund of any excess amounts withheld by timely filing an appropriate claim for refund with the IRS. Non-U.S. holders should consult their tax advisors regarding their entitlement to benefits under an applicable income tax treaty.</w:t>
      </w:r>
    </w:p>
    <w:p>
      <w:pPr>
        <w:spacing w:after="0" w:line="127"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Dividends that are effectively connected with a non-U.S. holder’s conduct of a trade or business in the United States and, if an income tax treaty so requires, are attributable to a permanent establishment maintained by the non-U.S. holder in the United States, are taxed on a net income basis at the regular graduated rates and in the manner applicable to U.S. persons. In that case, we or our withholding agent will not have to withhold U.S. federal withholding tax if the non-U.S. holder complies with applicable certification and disclosure requirements (which may generally be met by providing an IRS Form W-8ECI). In addition, a “branch profits tax” may be imposed at a 30% rate (or a lower rate specified under an applicable income tax treaty) on a foreign corporation’s effectively connected earnings and profits for the taxable year, as adjusted for certain items. Non-U.S. holders should consult any applicable income tax treaties that may provide for different rules.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Subject to the discussion below regarding backup withholding, a non-U.S. holder generally will not be subject to U.S. federal income tax on gain recognized on a disposition of our common stock unless:</w:t>
      </w:r>
    </w:p>
    <w:p>
      <w:pPr>
        <w:spacing w:after="0" w:line="51" w:lineRule="exact"/>
        <w:rPr>
          <w:sz w:val="20"/>
          <w:szCs w:val="20"/>
          <w:color w:val="auto"/>
        </w:rPr>
      </w:pPr>
    </w:p>
    <w:p>
      <w:pPr>
        <w:ind w:left="660" w:right="160" w:hanging="206"/>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permanent establishment maintained by the non-U.S. holder in the United States, in which case, the gain will be taxed on a net income basis at the U.S. federal income tax rates and in the manner applicable to U.S. persons, and if the non-U.S. holder is a foreign corporation, the branch profits tax described above may also apply;</w:t>
      </w:r>
    </w:p>
    <w:p>
      <w:pPr>
        <w:spacing w:after="0" w:line="62" w:lineRule="exact"/>
        <w:rPr>
          <w:rFonts w:ascii="Arial" w:cs="Arial" w:eastAsia="Arial" w:hAnsi="Arial"/>
          <w:sz w:val="18"/>
          <w:szCs w:val="18"/>
          <w:color w:val="auto"/>
        </w:rPr>
      </w:pPr>
    </w:p>
    <w:p>
      <w:pPr>
        <w:ind w:left="660" w:right="140" w:hanging="206"/>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meets other requirements, in which case, the non-U.S. holder will be subject to a flat 30% tax on the gain derived from the disposition (or such lower rate specified by an applicable income tax treaty), which may be offset by U.S. source capital losses, provided the non-U.S. holder has timely filed U.S. federal income tax returns with respect to such losses; or</w:t>
      </w:r>
    </w:p>
    <w:p>
      <w:pPr>
        <w:spacing w:after="0" w:line="62" w:lineRule="exact"/>
        <w:rPr>
          <w:rFonts w:ascii="Arial" w:cs="Arial" w:eastAsia="Arial" w:hAnsi="Arial"/>
          <w:sz w:val="18"/>
          <w:szCs w:val="18"/>
          <w:color w:val="auto"/>
        </w:rPr>
      </w:pPr>
    </w:p>
    <w:p>
      <w:pPr>
        <w:ind w:left="660" w:right="500" w:hanging="206"/>
        <w:spacing w:after="0" w:line="33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or USRPHC, for U.S. federal income tax purposes at any time during the shorter of the five-year period ending on the date of disposition or the period that the non-U.S. holder held our common stock.</w:t>
      </w:r>
    </w:p>
    <w:p>
      <w:pPr>
        <w:spacing w:after="0" w:line="8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we currently are a USRPHC. If we are or become a USRPHC, a non-U.S holder nonetheless will not be subject to U.S. federal income tax or withholding in respect of any gain realized on a sale or other disposition of our common stock so long as (i) our common stock is “regularly traded on an established securities market” for U.S. federal income tax purposes and (ii) such non- U.S. holder does not actually or constructively own, at any time during the applicable period described in the third bullet point, above, more than 5% of our outstanding common stock. We expect our common stock to be “regularly traded” on an established securities market, although we cannot guarantee it will be so traded. Accordingly, a non-U.S holder who actually or constructively owns more than 5% of our common stock would be subject to U.S. federal income tax and withholding in respect of any gain realized on any sale or other disposition of common stock (taxed in the same manner as gain that is effectively connected income, except that the branch profits tax would not apply). Non-U.S. holders should consult their own advisor about the consequences that could result if we are, or become, a USRPHC.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Dividends paid to you will generally be subject to information reporting and may be subject to U.S. backup withholding. You will be exempt from backup withholding if you properly provide a Form W-8BEN or W-8BEN-E or W-8ECI certifying under penalties of perjury that you are a non-U.S. holder or otherwise meet documentary evidence requirements for establishing that you are a non-U.S. holder, or you otherwise establish an exemption. Copies of the information returns reporting such dividends and the tax withheld with respect to such dividends also may be made available to the tax authorities in the country in which you reside.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gross proceeds from the disposition of our common stock may be subject to information reporting and backup withholding. If you receive payments of the proceeds of a disposition of our common stock to or through a U.S. office of a broker, the payment will be subject to both U.S. backup withholding and information reporting unless you properly provide a Form W-8BEN or W-8BEN-E or W-8ECI certifying under penalties of perjury that you are a non-U.S. person (and the payor does not have actual knowledge or reason to know that you are a U.S. person) or you otherwise establish an exemption. If you sell your common stock outside the United States through a non-U.S. office of a non-U.S. broker and the sales proceeds are paid to you outside the United States, then the U.S. backup withholding and information reporting requirements generally will not apply to that payment. However, U.S. information reporting, but not backup withholding, will generally apply to a payment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sales proceeds, even if that payment is made outside the United States, if you sell your common stock through a non-U.S. office of a broker that has certain relationships with the United States unless the broker has documentary evidence in its files that you are a non-U.S. person and certain other conditions are met, or you otherwise establish an exemption.</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Backup withholding is not an additional tax. You may obtain a refund or credit of any amounts withheld under the backup withholding rules that exceed your U.S. federal income tax liability, if any, provided the required information is timely furnished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common stock that is owned (or treated as owned) by an individual who is not a citizen or resident of the United States (as specially defined for U.S. federal estate tax purposes) at the time of death will be included in such individual’s gross estate for U.S. federal estate tax purposes, unless an applicable estate tax treaty provides otherwise, and, therefore, may be subject to U.S. federal estate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96"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Under the Foreign Account Tax Compliance Act, or FATCA, a 30% withholding tax will generally apply to dividends on, or gross proceeds from the sale or other disposition of, common stock paid to a foreign financial institution unless the foreign financial institution (i) enters into an agreement with the U.S. Treasury to, among other things, undertake to identify accounts held by certain U.S. persons or U.S.-owned foreign entities, annually report certain information about such accounts, and withhold 30% on payments to account holders whose actions prevent it from complying with these reporting and other requirements,</w:t>
      </w:r>
    </w:p>
    <w:p>
      <w:pPr>
        <w:spacing w:after="0" w:line="3" w:lineRule="exact"/>
        <w:rPr>
          <w:sz w:val="20"/>
          <w:szCs w:val="20"/>
          <w:color w:val="auto"/>
        </w:rPr>
      </w:pPr>
    </w:p>
    <w:p>
      <w:pPr>
        <w:ind w:firstLine="8"/>
        <w:spacing w:after="0" w:line="307" w:lineRule="auto"/>
        <w:tabs>
          <w:tab w:leader="none" w:pos="258" w:val="left"/>
        </w:tabs>
        <w:numPr>
          <w:ilvl w:val="0"/>
          <w:numId w:val="18"/>
        </w:numPr>
        <w:rPr>
          <w:rFonts w:ascii="Arial" w:cs="Arial" w:eastAsia="Arial" w:hAnsi="Arial"/>
          <w:sz w:val="15"/>
          <w:szCs w:val="15"/>
          <w:color w:val="auto"/>
        </w:rPr>
      </w:pPr>
      <w:r>
        <w:rPr>
          <w:rFonts w:ascii="Arial" w:cs="Arial" w:eastAsia="Arial" w:hAnsi="Arial"/>
          <w:sz w:val="15"/>
          <w:szCs w:val="15"/>
          <w:color w:val="auto"/>
        </w:rPr>
        <w:t>is resident in a country that has entered into an intergovernmental agreement with the United States in relation to such withholding and information reporting and the financial entity complies with related information reporting requirements of such country, or (iii) qualifies for an exemption from these rules. A foreign financial institution generally is a foreign entity that (i) accepts deposits in the ordinary course of a banking or similar business, (ii) as a substantial portion of its business, holds financial assets for the benefit of one or more other persons, or (iii) is an investment entity that, in general, primarily conducts as a business on behalf of customers trading in certain financial instruments, individual or collective portfolio management or otherwise investing, administering, or managing funds, money or certain financial assets on behalf of other persons. In addition, FATCA generally imposes a 30% withholding tax on the same types of payments to a non-financial foreign entity unless the entity certifies that it does not have any substantial U.S. owners, furnishes identifying information regarding each substantial U.S. owner, or otherwise qualifies for an exemption from these rules. In either case, such payments would include U.S.-source dividends and the gross proceeds from the sale or other disposition of stock that can produce U.S.-source dividends. FATCA’s withholding obligations generally will apply to payments of dividends on our common stock, and to payments of gross proceeds from the sale or other disposition of our common stock made on or after January 1, 2019.</w:t>
      </w:r>
    </w:p>
    <w:p>
      <w:pPr>
        <w:spacing w:after="0" w:line="110"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 final Treasury regulations and subsequent guidance provide detailed guidance regarding the reporting, withholding and other obligations under FATCA. Investors should consult their tax advisors regarding the possible impact of the FATCA rules on their investment in our common stock, including, without limitation, the process and deadlines for meeting the applicable requirements to prevent the imposition of the 30% withholding tax under FATCA.</w:t>
      </w:r>
    </w:p>
    <w:p>
      <w:pPr>
        <w:spacing w:after="0" w:line="107"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THE SUMMARY OF MATERIAL U.S. FEDERAL INCOME AND ESTATE TAX CONSIDERATIONS ABOVE IS INCLUDED FOR GENERAL INFORMATION PURPOSES ONLY. POTENTIAL PURCHASERS OF OUR COMMON STOCK ARE URGED TO CONSULT THEIR OWN TAX ADVISORS TO DETERMINE THE U.S. FEDERAL, STATE, LOCAL AND NON-U.S. TAX CONSIDERATIONS OF PURCHASING, OWNING AND DISPOSING OF OUR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Under the terms and subject to the conditions contained in an underwriting agreement dated July 13, 2016, we have agreed to sell to the underwriters named below, for whom Credit Suisse Securities (USA) LLC is acting as representative, the following respective number of shares of our common stock:</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700" w:type="dxa"/>
            <w:vAlign w:val="bottom"/>
            <w:vMerge w:val="restart"/>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9700" w:type="dxa"/>
            <w:vAlign w:val="bottom"/>
            <w:vMerge w:val="continue"/>
          </w:tcPr>
          <w:p>
            <w:pPr>
              <w:spacing w:after="0"/>
              <w:rPr>
                <w:sz w:val="14"/>
                <w:szCs w:val="14"/>
                <w:color w:val="auto"/>
              </w:rPr>
            </w:pPr>
          </w:p>
        </w:tc>
        <w:tc>
          <w:tcPr>
            <w:tcW w:w="8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95"/>
        </w:trPr>
        <w:tc>
          <w:tcPr>
            <w:tcW w:w="10480" w:type="dxa"/>
            <w:vAlign w:val="bottom"/>
            <w:gridSpan w:val="2"/>
          </w:tcPr>
          <w:p>
            <w:pPr>
              <w:spacing w:after="0" w:line="195" w:lineRule="exact"/>
              <w:rPr>
                <w:sz w:val="20"/>
                <w:szCs w:val="20"/>
                <w:color w:val="auto"/>
              </w:rPr>
            </w:pPr>
            <w:r>
              <w:rPr>
                <w:rFonts w:ascii="Arial" w:cs="Arial" w:eastAsia="Arial" w:hAnsi="Arial"/>
                <w:sz w:val="18"/>
                <w:szCs w:val="18"/>
                <w:color w:val="auto"/>
              </w:rPr>
              <w:t>Credit Suisse Securities (USA) LLC</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467,500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467,500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Tudor, Pickering, Holt &amp; Co. Securities,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IBERIA Capital Partners L.L.C.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Piper Jaffray &amp; Co.</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KeyBanc Capital Markets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KLR Group, LLC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Johnson Rice &amp; Company L.L.C.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Nomura Securities International,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2"/>
        </w:trPr>
        <w:tc>
          <w:tcPr>
            <w:tcW w:w="10480" w:type="dxa"/>
            <w:vAlign w:val="bottom"/>
            <w:gridSpan w:val="2"/>
          </w:tcPr>
          <w:p>
            <w:pPr>
              <w:spacing w:after="0"/>
              <w:rPr>
                <w:sz w:val="20"/>
                <w:szCs w:val="20"/>
                <w:color w:val="auto"/>
              </w:rPr>
            </w:pPr>
            <w:r>
              <w:rPr>
                <w:rFonts w:ascii="Arial" w:cs="Arial" w:eastAsia="Arial" w:hAnsi="Arial"/>
                <w:sz w:val="18"/>
                <w:szCs w:val="18"/>
                <w:color w:val="auto"/>
              </w:rPr>
              <w:t>Wunderlich Securities, Inc.</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4"/>
        </w:trPr>
        <w:tc>
          <w:tcPr>
            <w:tcW w:w="104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underwriting agreement provides that the underwriters are obligated to purchase all the shares of common stock in the offering if any are purchased, other than those shares covered by the option described below.</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granted the underwriters a 30-day option to purchase up to an aggregate of 825,000 additional shares at the offering price set forth on the cover of this prospectus supplement.</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underwriters propose to offer the shares of common stock from time to time for sale in one or more transactions on the NASDAQ Global Select Market, in the over-the-counter market, through negotiated transactions or otherwise at market prices prevailing at the time of sale, at prices related to prevailing market prices or at negotiated prices, subject to receipt and acceptance by it and subject to its right to reject any order in whole or in part. In connection with the sale of the shares of common stock offered hereby, the underwriters may be deemed to have received compensation in the form of underwriting discounts. The underwriters may effect such transactions by selling shares of common stock to or through dealers and such dealers may receive compensation in the form of discounts, concessions or commissions from the underwriters and/or purchasers of shares of common stock for whom it may act as agent or to whom it may sell as principal.</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estimate that our out-of-pocket expenses for this offering will be approximately $125,000. We have also agreed to reimburse the underwriters for certain of its expenses in an amount up to $20,000 as set forth in the underwriting agreement.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Credit Suisse Securities (USA) LLC has informed us that it does not expect sales to accounts over which it has discretionary authority to exceed 5% of the shares of common stock being offered.</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connection with this offering, we agreed that, subject to certain exceptions, we will not offer, sell, contract to sell, pledge or otherwise dispose of, directly or indirectly, or file with the SEC a registration statement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45 days after the date of this prospectus supplement.</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Each of our officers and directors have agreed in connection with this offering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for a period of 45 days after the date of this prospectus supplement.</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lock-up restrictions are subject to certain specific exceptions, including transfers of common stock as a bona fide gift or by will or intestate succession and transfers to such person’s immediate family or to a trust or to an entity controlled by such holder, provided that the recipient of the shares agrees to be bound by the same restrictions on sales and, in the case of our executive officers and directors, the right of such individuals to sell up to 300,000 shares in the aggregate.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Credit Suisse Securities (USA) LLC, in its sole discretion, may release the common stock and other securities subject to the lock-up agreements described above in whole or in part at any time. When determining whether or not to release the common stock and other securities from lock-up agreements, Credit Suisse Securities (USA) LLC will consider, among other factors, the holder’s reasons for requesting the release and the number of shares of common stock or other securities for which the release is being requested.</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liabilities under the Securities Act, or contribute to payments that the underwriters may be required to make in that respect.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“FANG.” On July 12, the closing price of our common stock was $91.96.</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from time to time performed, and may in the future perform, various financial advisory, commercial banking and investment banking services for us and for our affiliates in the ordinary course of business for which they have received and would receive customary compensation.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investments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2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as amended, or the Exchange Act.</w:t>
      </w:r>
    </w:p>
    <w:p>
      <w:pPr>
        <w:spacing w:after="0" w:line="4" w:lineRule="exact"/>
        <w:rPr>
          <w:sz w:val="20"/>
          <w:szCs w:val="20"/>
          <w:color w:val="auto"/>
        </w:rPr>
      </w:pPr>
    </w:p>
    <w:p>
      <w:pPr>
        <w:jc w:val="center"/>
        <w:ind w:left="5540" w:right="1000" w:hanging="5086"/>
        <w:spacing w:after="0" w:line="440" w:lineRule="auto"/>
        <w:tabs>
          <w:tab w:leader="none" w:pos="6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 S-22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9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are not greater than the number of shares that it may purchase in the over-allotment option. In a naked short position, the number of shares involved is greater than the number of shares in the over-allotment option. The underwriters may close out any covered short position by either exercising its over-allotment option and/or purchasing shares in the open market.</w:t>
      </w:r>
    </w:p>
    <w:p>
      <w:pPr>
        <w:spacing w:after="0" w:line="34" w:lineRule="exact"/>
        <w:rPr>
          <w:rFonts w:ascii="Arial" w:cs="Arial" w:eastAsia="Arial" w:hAnsi="Arial"/>
          <w:sz w:val="16"/>
          <w:szCs w:val="16"/>
          <w:color w:val="auto"/>
        </w:rPr>
      </w:pPr>
    </w:p>
    <w:p>
      <w:pPr>
        <w:ind w:left="660" w:hanging="206"/>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it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39"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broker/dealer when the shares originally sold by such broker/dealer are purchased in a stabilizing or covering transaction to cover short positions.</w:t>
      </w:r>
    </w:p>
    <w:p>
      <w:pPr>
        <w:spacing w:after="0" w:line="5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stock who is an underwriter or prospective underwriter may, subject to limitations, make bids for or purchases of our common stock until the time, if any, at which a stabilizing bid is made.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the web sites maintained by the underwriters, or selling group members, if any, participating in this offering and the underwriters may distribute prospectuses electronically. The underwriters may agree to allocate a number of shares to selling group members for sale to their online brokerage account holders. Internet distributions will be allocated by the underwriters that will make internet distributions on the same basis as other allocations.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EEA restriction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6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under the Prospectus Directive;</w:t>
      </w:r>
    </w:p>
    <w:p>
      <w:pPr>
        <w:spacing w:after="0" w:line="90" w:lineRule="exact"/>
        <w:rPr>
          <w:rFonts w:ascii="Arial" w:cs="Arial" w:eastAsia="Arial" w:hAnsi="Arial"/>
          <w:sz w:val="18"/>
          <w:szCs w:val="18"/>
          <w:color w:val="auto"/>
        </w:rPr>
      </w:pPr>
    </w:p>
    <w:p>
      <w:pPr>
        <w:ind w:left="900" w:right="4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spacing w:after="0" w:line="268" w:lineRule="auto"/>
        <w:rPr>
          <w:sz w:val="20"/>
          <w:szCs w:val="20"/>
          <w:color w:val="auto"/>
        </w:rPr>
      </w:pPr>
      <w:r>
        <w:rPr>
          <w:rFonts w:ascii="Arial" w:cs="Arial" w:eastAsia="Arial" w:hAnsi="Arial"/>
          <w:sz w:val="18"/>
          <w:szCs w:val="18"/>
          <w:color w:val="auto"/>
        </w:rPr>
        <w:t>provided that no such offer of Shares shall result in a requirement for the Company or any underwriter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90" w:lineRule="exact"/>
        <w:rPr>
          <w:sz w:val="20"/>
          <w:szCs w:val="20"/>
          <w:color w:val="auto"/>
        </w:rPr>
      </w:pPr>
    </w:p>
    <w:p>
      <w:pPr>
        <w:jc w:val="both"/>
        <w:ind w:left="900" w:right="320" w:hanging="446"/>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in circumstances in which Section 21(1) of the FSMA does not apply to the Company; and</w:t>
      </w:r>
    </w:p>
    <w:p>
      <w:pPr>
        <w:spacing w:after="0" w:line="25"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United Kingdom Investors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is only being distributed to and is only directed at (i) persons who are outside the United Kingdom or (ii) investment professionals falling within Article 19(5) of the Financial Services and Markets Act 2000 (Financial Promotion) Order 2005 (the “Order”) or (iii) high net worth companies, and other persons to whom it may lawfully be communicated, falling within Article 49(2)(a) to (d) of the Order (all such persons together being referred to as “relevant persons”). The Shares are only available to, and any invitation, offer or agreement to subscribe, purchase or otherwise acquire such Shares will be engaged in only with, relevant persons. Any person who is not a relevant person should not act or rely on this document or any of its contents.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9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shares of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By purchasing shares of common stock in Canada and accepting delivery of a purchase confirmation, a purchaser is representing to us and the dealer from whom the purchase confirmation is received that:</w:t>
      </w:r>
    </w:p>
    <w:p>
      <w:pPr>
        <w:spacing w:after="0" w:line="51" w:lineRule="exact"/>
        <w:rPr>
          <w:sz w:val="20"/>
          <w:szCs w:val="20"/>
          <w:color w:val="auto"/>
        </w:rPr>
      </w:pPr>
    </w:p>
    <w:p>
      <w:pPr>
        <w:ind w:left="660" w:right="20" w:hanging="206"/>
        <w:spacing w:after="0" w:line="33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shares of common stock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660" w:right="60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Canadian purchasers are hereby notified that is the underwriters are relying on the exemption set out in section 3A.3 or 3A.4, if applicable, of National Instrument 33-105 –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from having to provide certain conflict of interest disclosure in this document.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Canadian purchasers of shares of common stock should consult their own legal and tax advisors with respect to the tax consequences of an investment in the shares of common stock in their particular circumstances and about the eligibility of the shares of common stock for investment by the purchaser under relevant Canadian legislation.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validity of the shares of common stock that are offered hereby by us will be passed upon by Akin Gump Strauss Hauer &amp; Feld, LLP. The underwriters have been represented by Latham &amp; Watkins LLP, Houston, Texas.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audited consolidated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Information referenced in this prospectus supplement regarding our estimated quantities of oil and gas reserves and the discounted present value of future net cash flows therefrom is based upon estimates of such reserves and present values prepared by Ryder Scott Company, L.P., an independent petroleum engineering firm, as of December 31, 2015, 2014 and 2013.</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77" w:lineRule="exact"/>
        <w:rPr>
          <w:sz w:val="20"/>
          <w:szCs w:val="20"/>
          <w:color w:val="auto"/>
        </w:rPr>
      </w:pPr>
    </w:p>
    <w:p>
      <w:pPr>
        <w:jc w:val="both"/>
        <w:ind w:right="500" w:firstLine="456"/>
        <w:spacing w:after="0" w:line="256"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incorporate by reference into this prospectus supplement and the accompanying prospectus the information or documents listed below that we have filed with the SEC (except as indicated below with respect to Item 2.02 or Item 7.01 of Form 8-K):</w:t>
      </w:r>
    </w:p>
    <w:p>
      <w:pPr>
        <w:spacing w:after="0" w:line="51"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 filed with the SEC on February 19, 2016;</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the Annual Report on Form 10-K for the fiscal year ended December 31, 2015 from our definitive proxy statement on Schedule 14A, filed on April 29, 2016;</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2016, filed with the SEC on May 5, 2016;</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19, 2016, June 13, 2016 and June 27, 2016; and</w:t>
      </w:r>
    </w:p>
    <w:p>
      <w:pPr>
        <w:spacing w:after="0" w:line="9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Form 8-A filed on October 11, 2012, including any amendment to that form that we may file in the future for the purpose of updating the description of our common stock.</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all documents filed by us with the SEC under Sections 13(a), 13(c), 14 or 15(d) of the Exchange Act (other than those furnished pursuant to Item 2.02 or Item 7.01 of Form 8-K, unless otherwise stated therein) after the date of this prospectus supplement and prior to the filing of a post-effective amendment that indicates that all securities offered hereby have been sold or that deregisters all securities remaining unsold, will be considered to be incorporated by reference into this prospectus supplement and to be a part of this prospectus supplement from the dates of the filing of such documents. Pursuant to General Instruction B of Form 8-K, 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supplement, unless otherwise indicated on such Form 8-K.</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furnish without charge to you, on written or oral request, a copy of any documents incorporated by reference, including any exhibits to such documents. You should direct any requests for documents to Teresa L. Dick, Chief Financial Officer, Diamondback Energy, Inc., 9400 N. Broadway, Suite 700, Oklahoma City, Oklahoma 73114; telephone: (405) 463-6900.</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the meanings of some of the oil and natural gas industry terms used in this prospectus supplement.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Bbl</w:t>
      </w:r>
      <w:r>
        <w:rPr>
          <w:rFonts w:ascii="Arial" w:cs="Arial" w:eastAsia="Arial" w:hAnsi="Arial"/>
          <w:sz w:val="16"/>
          <w:szCs w:val="16"/>
          <w:color w:val="auto"/>
        </w:rPr>
        <w:t>. Stock tank barrel, or 42 U.S. gallons liquid volume, used in this prospectus supplement in reference to crude oil or other liquid hydrocarbons.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Bbl/d</w:t>
      </w:r>
      <w:r>
        <w:rPr>
          <w:rFonts w:ascii="Arial" w:cs="Arial" w:eastAsia="Arial" w:hAnsi="Arial"/>
          <w:sz w:val="18"/>
          <w:szCs w:val="18"/>
          <w:color w:val="auto"/>
        </w:rPr>
        <w:t>. Bbl per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BOE</w:t>
      </w:r>
      <w:r>
        <w:rPr>
          <w:rFonts w:ascii="Arial" w:cs="Arial" w:eastAsia="Arial" w:hAnsi="Arial"/>
          <w:sz w:val="18"/>
          <w:szCs w:val="18"/>
          <w:color w:val="auto"/>
        </w:rPr>
        <w:t>. Barrels of oil equivalent, with six thousand cubic feet of natural gas being equivalent to one barrel of oil.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BOE/d</w:t>
      </w:r>
      <w:r>
        <w:rPr>
          <w:rFonts w:ascii="Arial" w:cs="Arial" w:eastAsia="Arial" w:hAnsi="Arial"/>
          <w:sz w:val="18"/>
          <w:szCs w:val="18"/>
          <w:color w:val="auto"/>
        </w:rPr>
        <w:t>. BOE per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Brent</w:t>
      </w:r>
      <w:r>
        <w:rPr>
          <w:rFonts w:ascii="Arial" w:cs="Arial" w:eastAsia="Arial" w:hAnsi="Arial"/>
          <w:sz w:val="18"/>
          <w:szCs w:val="18"/>
          <w:color w:val="auto"/>
        </w:rPr>
        <w:t>. Brent sweet light crude oil.</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natural gas or oil, or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 of a dry hole, the reporting of abandonment to the appropriate agency.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Condensate</w:t>
      </w:r>
      <w:r>
        <w:rPr>
          <w:rFonts w:ascii="Arial" w:cs="Arial" w:eastAsia="Arial" w:hAnsi="Arial"/>
          <w:sz w:val="18"/>
          <w:szCs w:val="18"/>
          <w:color w:val="auto"/>
        </w:rPr>
        <w:t>. Liquid hydrocarbons associated with the production of a primarily natural gas reserve.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Developed acreage</w:t>
      </w:r>
      <w:r>
        <w:rPr>
          <w:rFonts w:ascii="Arial" w:cs="Arial" w:eastAsia="Arial" w:hAnsi="Arial"/>
          <w:sz w:val="18"/>
          <w:szCs w:val="18"/>
          <w:color w:val="auto"/>
        </w:rPr>
        <w:t>. The number of acres that are allocated or assignable to productive wells or wells capable of production.</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A well found to be incapable of producing hydrocarbons in sufficient quantities such that proceeds from the sale of such production exceed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expenses and taxes.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either a single reservoir or multiple reservoirs, all grouped on or related to the same individual geological structural feature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stratigraphic condition.</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Finding and development costs</w:t>
      </w:r>
      <w:r>
        <w:rPr>
          <w:rFonts w:ascii="Arial" w:cs="Arial" w:eastAsia="Arial" w:hAnsi="Arial"/>
          <w:sz w:val="18"/>
          <w:szCs w:val="18"/>
          <w:color w:val="auto"/>
        </w:rPr>
        <w:t>. Capital costs incurred in the acquisition, exploitation and exploration of proved oil and natural gas reserves divided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proved reserve additions and revisions to proved reserves.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Fracturing</w:t>
      </w:r>
      <w:r>
        <w:rPr>
          <w:rFonts w:ascii="Arial" w:cs="Arial" w:eastAsia="Arial" w:hAnsi="Arial"/>
          <w:sz w:val="18"/>
          <w:szCs w:val="18"/>
          <w:color w:val="auto"/>
        </w:rPr>
        <w:t>. The process of creating and preserving a fracture or system of fractures in a reservoir rock typically by injecting a fluid under pressure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wellbore and into the targeted 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acres or gross wells</w:t>
      </w:r>
      <w:r>
        <w:rPr>
          <w:rFonts w:ascii="Arial" w:cs="Arial" w:eastAsia="Arial" w:hAnsi="Arial"/>
          <w:sz w:val="18"/>
          <w:szCs w:val="18"/>
          <w:color w:val="auto"/>
        </w:rPr>
        <w:t>. The total acres or wells, as the case may be, in which a working interest is owned.</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 angle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specified interval.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LLS</w:t>
      </w:r>
      <w:r>
        <w:rPr>
          <w:rFonts w:ascii="Arial" w:cs="Arial" w:eastAsia="Arial" w:hAnsi="Arial"/>
          <w:sz w:val="18"/>
          <w:szCs w:val="18"/>
          <w:color w:val="auto"/>
        </w:rPr>
        <w:t>. Light Louisiana sweet crude oil.</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MBOE</w:t>
      </w:r>
      <w:r>
        <w:rPr>
          <w:rFonts w:ascii="Arial" w:cs="Arial" w:eastAsia="Arial" w:hAnsi="Arial"/>
          <w:sz w:val="18"/>
          <w:szCs w:val="18"/>
          <w:color w:val="auto"/>
        </w:rPr>
        <w:t>. One thousand barrels of crude oil equivalent, determined using a ratio of six Mcf of natural gas to one Bbl of crude oil, condensate or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MBOE/d</w:t>
      </w:r>
      <w:r>
        <w:rPr>
          <w:rFonts w:ascii="Arial" w:cs="Arial" w:eastAsia="Arial" w:hAnsi="Arial"/>
          <w:sz w:val="18"/>
          <w:szCs w:val="18"/>
          <w:color w:val="auto"/>
        </w:rPr>
        <w:t>. MBOE per day.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Mcf</w:t>
      </w:r>
      <w:r>
        <w:rPr>
          <w:rFonts w:ascii="Arial" w:cs="Arial" w:eastAsia="Arial" w:hAnsi="Arial"/>
          <w:sz w:val="18"/>
          <w:szCs w:val="18"/>
          <w:color w:val="auto"/>
        </w:rPr>
        <w:t>. Thousand cubic feet of natural gas.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MMBOE</w:t>
      </w:r>
      <w:r>
        <w:rPr>
          <w:rFonts w:ascii="Arial" w:cs="Arial" w:eastAsia="Arial" w:hAnsi="Arial"/>
          <w:sz w:val="18"/>
          <w:szCs w:val="18"/>
          <w:color w:val="auto"/>
        </w:rPr>
        <w:t>. One million barrels of crude oil equivalent, determined using a ratio of six Mcf of natural gas to one Bbl of crude oil, condensate or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MMBtu</w:t>
      </w:r>
      <w:r>
        <w:rPr>
          <w:rFonts w:ascii="Arial" w:cs="Arial" w:eastAsia="Arial" w:hAnsi="Arial"/>
          <w:sz w:val="18"/>
          <w:szCs w:val="18"/>
          <w:color w:val="auto"/>
        </w:rPr>
        <w:t>. Million British thermal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MMcf</w:t>
      </w:r>
      <w:r>
        <w:rPr>
          <w:rFonts w:ascii="Arial" w:cs="Arial" w:eastAsia="Arial" w:hAnsi="Arial"/>
          <w:sz w:val="18"/>
          <w:szCs w:val="18"/>
          <w:color w:val="auto"/>
        </w:rPr>
        <w:t>. Million cubic feet of natural 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acres or net wells</w:t>
      </w:r>
      <w:r>
        <w:rPr>
          <w:rFonts w:ascii="Arial" w:cs="Arial" w:eastAsia="Arial" w:hAnsi="Arial"/>
          <w:sz w:val="18"/>
          <w:szCs w:val="18"/>
          <w:color w:val="auto"/>
        </w:rPr>
        <w:t>. The sum of the fractional working interest owned in gross acres or gross wells, as the case may be.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PDP</w:t>
      </w:r>
      <w:r>
        <w:rPr>
          <w:rFonts w:ascii="Arial" w:cs="Arial" w:eastAsia="Arial" w:hAnsi="Arial"/>
          <w:sz w:val="18"/>
          <w:szCs w:val="18"/>
          <w:color w:val="auto"/>
        </w:rPr>
        <w:t>. Proved developed producing.</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Play</w:t>
      </w:r>
      <w:r>
        <w:rPr>
          <w:rFonts w:ascii="Arial" w:cs="Arial" w:eastAsia="Arial" w:hAnsi="Arial"/>
          <w:sz w:val="18"/>
          <w:szCs w:val="18"/>
          <w:color w:val="auto"/>
        </w:rPr>
        <w:t>. A set of discovered or prospective oil and/or natural gas accumulations sharing similar geologic, geographic and temporal properties, such as 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rock, reservoir structure, timing, trapping mechanism and hydrocarbon type.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PUD</w:t>
      </w:r>
      <w:r>
        <w:rPr>
          <w:rFonts w:ascii="Arial" w:cs="Arial" w:eastAsia="Arial" w:hAnsi="Arial"/>
          <w:sz w:val="18"/>
          <w:szCs w:val="18"/>
          <w:color w:val="auto"/>
        </w:rPr>
        <w:t>. Proved undeveloped.</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production expenses and taxes.</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b w:val="1"/>
          <w:bCs w:val="1"/>
          <w:i w:val="1"/>
          <w:iCs w:val="1"/>
          <w:color w:val="auto"/>
        </w:rPr>
        <w:t>Prospect</w:t>
      </w:r>
      <w:r>
        <w:rPr>
          <w:rFonts w:ascii="Arial" w:cs="Arial" w:eastAsia="Arial" w:hAnsi="Arial"/>
          <w:sz w:val="16"/>
          <w:szCs w:val="16"/>
          <w:color w:val="auto"/>
        </w:rPr>
        <w:t>. A specific geographic area which, based on supporting geological, geophysical or other data and also preliminary economic analysis 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reasonably anticipated prices and costs, is deemed to have potential for the discovery of commercial hydrocarbons.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Proved developed reserves</w:t>
      </w:r>
      <w:r>
        <w:rPr>
          <w:rFonts w:ascii="Arial" w:cs="Arial" w:eastAsia="Arial" w:hAnsi="Arial"/>
          <w:sz w:val="16"/>
          <w:szCs w:val="16"/>
          <w:color w:val="auto"/>
        </w:rPr>
        <w:t>. Reserves that can be expected to be recovered through existing wells with existing equipment and operating methods.</w:t>
      </w:r>
    </w:p>
    <w:p>
      <w:pPr>
        <w:spacing w:after="0" w:line="19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b w:val="1"/>
          <w:bCs w:val="1"/>
          <w:i w:val="1"/>
          <w:iCs w:val="1"/>
          <w:color w:val="auto"/>
        </w:rPr>
        <w:t>Proved reserves</w:t>
      </w:r>
      <w:r>
        <w:rPr>
          <w:rFonts w:ascii="Arial" w:cs="Arial" w:eastAsia="Arial" w:hAnsi="Arial"/>
          <w:sz w:val="16"/>
          <w:szCs w:val="16"/>
          <w:color w:val="auto"/>
        </w:rPr>
        <w:t>. The estimated quantities of oil, natural gas and natural gas liquids which geological and engineering data demonstrate with reasonable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certainty to be commercially recoverable in future years from known reservoirs under existing economic and operating conditions.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Proved reserves that are expected to be recovered from new wells on undrilled acreage or from existing wells where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relatively major expenditure is required for recompletion.</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 attempt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or increase existing production.</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natural gas and/or oil that is confined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impermeable rock or water barriers and is separate from other reservoirs.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b w:val="1"/>
          <w:bCs w:val="1"/>
          <w:i w:val="1"/>
          <w:iCs w:val="1"/>
          <w:color w:val="auto"/>
        </w:rPr>
        <w:t>Undeveloped acreage</w:t>
      </w:r>
      <w:r>
        <w:rPr>
          <w:rFonts w:ascii="Arial" w:cs="Arial" w:eastAsia="Arial" w:hAnsi="Arial"/>
          <w:sz w:val="18"/>
          <w:szCs w:val="18"/>
          <w:color w:val="auto"/>
        </w:rPr>
        <w:t>. Lease acreage on which wells have not been drilled or completed to a point that would permit the production of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quantities of oil and natural gas regardless of whether such acreage contains proved reserves.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Working interest</w:t>
      </w:r>
      <w:r>
        <w:rPr>
          <w:rFonts w:ascii="Arial" w:cs="Arial" w:eastAsia="Arial" w:hAnsi="Arial"/>
          <w:sz w:val="18"/>
          <w:szCs w:val="18"/>
          <w:color w:val="auto"/>
        </w:rPr>
        <w:t>. The operating interest that gives the owner the right to drill, produce and conduct operating activities on the property and receive a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production and requires the owner to pay a share of the costs of drilling and production operations.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WTI</w:t>
      </w:r>
      <w:r>
        <w:rPr>
          <w:rFonts w:ascii="Arial" w:cs="Arial" w:eastAsia="Arial" w:hAnsi="Arial"/>
          <w:sz w:val="18"/>
          <w:szCs w:val="18"/>
          <w:color w:val="auto"/>
        </w:rPr>
        <w:t>. West Texas Intermediate, also known as Texas light sweet, crude oil.</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143510</wp:posOffset>
            </wp:positionV>
            <wp:extent cx="2426970" cy="3517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697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Diamondback Energy, Inc.</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Senior Debt Securities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Subordinated Debt Securities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187325</wp:posOffset>
            </wp:positionV>
            <wp:extent cx="1089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By this prospectus, we may offer and sell, from time to time in one or more offerings, our common stock and senior and subordinated debt securities, and one or more of our existing and future subsidiaries, including Diamondback O&amp;G LLC, Diamondback E&amp;P LLC and Viper Energy Partners LLC, may fully and unconditionally guarantee the principal of, and premium (if any) and interest on, such debt securities. This prospectus may be also used by the selling security holders named in this prospectus and any other selling security holders that may be identified in any applicable prospectus supplement in connection with resales, from time to time in one or more offerings, of up to 17,459,436 shares of our common stock held by such selling security holders. We refer to our common stock and debt securities that may be offered by us and/or selling security holders pursuant to this prospectus and any applicable prospectus supplement collectively as the “securities.”</w:t>
      </w:r>
    </w:p>
    <w:p>
      <w:pPr>
        <w:spacing w:after="0" w:line="14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and the general manner in which we or selling security holders will offer the securities. Each time we or selling security holders sell securities, to the extent required, we will provide a supplement to this prospectus that contains specific information about the offering. The supplement may also add, update or change information contained in this prospectus. You should carefully read this prospectus, all prospectus supplements and all other documents incorporated by reference in this prospectus before you invest in our securities.</w:t>
      </w:r>
    </w:p>
    <w:p>
      <w:pPr>
        <w:spacing w:after="0" w:line="94"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“FANG.”</w:t>
      </w:r>
    </w:p>
    <w:p>
      <w:pPr>
        <w:spacing w:after="0" w:line="165"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November 5, 2013.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42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69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Cautionary Note Regarding Forward-Looking Statements</w:t>
              </w:r>
            </w:hyperlink>
          </w:p>
        </w:tc>
        <w:tc>
          <w:tcPr>
            <w:tcW w:w="360" w:type="dxa"/>
            <w:vAlign w:val="bottom"/>
          </w:tcPr>
          <w:p>
            <w:pPr>
              <w:spacing w:after="0"/>
              <w:rPr>
                <w:sz w:val="17"/>
                <w:szCs w:val="17"/>
                <w:color w:val="auto"/>
              </w:rPr>
            </w:pPr>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4420" w:type="dxa"/>
            <w:vAlign w:val="bottom"/>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Our Company</w:t>
              </w:r>
            </w:hyperlink>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96"/>
        </w:trPr>
        <w:tc>
          <w:tcPr>
            <w:tcW w:w="4420" w:type="dxa"/>
            <w:vAlign w:val="bottom"/>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About the Subsidiary Guarantors</w:t>
              </w:r>
            </w:hyperlink>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Risk Factors</w:t>
              </w:r>
            </w:hyperlink>
          </w:p>
        </w:tc>
        <w:tc>
          <w:tcPr>
            <w:tcW w:w="1420" w:type="dxa"/>
            <w:vAlign w:val="bottom"/>
            <w:tcBorders>
              <w:top w:val="single" w:sz="8" w:color="0000EE"/>
            </w:tcBorders>
            <w:gridSpan w:val="7"/>
          </w:tcPr>
          <w:p>
            <w:pPr>
              <w:spacing w:after="0"/>
              <w:rPr>
                <w:sz w:val="17"/>
                <w:szCs w:val="17"/>
                <w:color w:val="auto"/>
              </w:rPr>
            </w:pPr>
          </w:p>
        </w:tc>
        <w:tc>
          <w:tcPr>
            <w:tcW w:w="2100" w:type="dxa"/>
            <w:vAlign w:val="bottom"/>
            <w:gridSpan w:val="6"/>
          </w:tcPr>
          <w:p>
            <w:pPr>
              <w:spacing w:after="0"/>
              <w:rPr>
                <w:sz w:val="17"/>
                <w:szCs w:val="17"/>
                <w:color w:val="auto"/>
              </w:rPr>
            </w:pPr>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20" w:type="dxa"/>
            <w:vAlign w:val="bottom"/>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Ratio of Earnings (Deficit) to Fixed Charges</w:t>
              </w:r>
            </w:hyperlink>
          </w:p>
        </w:tc>
        <w:tc>
          <w:tcPr>
            <w:tcW w:w="1280" w:type="dxa"/>
            <w:vAlign w:val="bottom"/>
            <w:gridSpan w:val="3"/>
          </w:tcPr>
          <w:p>
            <w:pPr>
              <w:spacing w:after="0"/>
              <w:rPr>
                <w:sz w:val="17"/>
                <w:szCs w:val="17"/>
                <w:color w:val="auto"/>
              </w:rPr>
            </w:pPr>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Selling Security Holders</w:t>
              </w:r>
            </w:hyperlink>
          </w:p>
        </w:tc>
        <w:tc>
          <w:tcPr>
            <w:tcW w:w="2680" w:type="dxa"/>
            <w:vAlign w:val="bottom"/>
            <w:gridSpan w:val="8"/>
          </w:tcPr>
          <w:p>
            <w:pPr>
              <w:spacing w:after="0"/>
              <w:rPr>
                <w:sz w:val="17"/>
                <w:szCs w:val="17"/>
                <w:color w:val="auto"/>
              </w:rPr>
            </w:pPr>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20" w:type="dxa"/>
            <w:vAlign w:val="bottom"/>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Debt Securities and Guarantees</w:t>
              </w:r>
            </w:hyperlink>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Description of Capital Stock</w:t>
              </w:r>
            </w:hyperlink>
          </w:p>
        </w:tc>
        <w:tc>
          <w:tcPr>
            <w:tcW w:w="1240" w:type="dxa"/>
            <w:vAlign w:val="bottom"/>
            <w:tcBorders>
              <w:top w:val="single" w:sz="8" w:color="0000EE"/>
            </w:tcBorders>
            <w:gridSpan w:val="5"/>
          </w:tcPr>
          <w:p>
            <w:pPr>
              <w:spacing w:after="0"/>
              <w:rPr>
                <w:sz w:val="17"/>
                <w:szCs w:val="17"/>
                <w:color w:val="auto"/>
              </w:rPr>
            </w:pPr>
          </w:p>
        </w:tc>
        <w:tc>
          <w:tcPr>
            <w:tcW w:w="1160" w:type="dxa"/>
            <w:vAlign w:val="bottom"/>
            <w:gridSpan w:val="2"/>
          </w:tcPr>
          <w:p>
            <w:pPr>
              <w:spacing w:after="0"/>
              <w:rPr>
                <w:sz w:val="17"/>
                <w:szCs w:val="17"/>
                <w:color w:val="auto"/>
              </w:rPr>
            </w:pPr>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420" w:type="dxa"/>
            <w:vAlign w:val="bottom"/>
            <w:gridSpan w:val="1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Plan of Distribution</w:t>
              </w:r>
            </w:hyperlink>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96"/>
        </w:trPr>
        <w:tc>
          <w:tcPr>
            <w:tcW w:w="4420" w:type="dxa"/>
            <w:vAlign w:val="bottom"/>
            <w:gridSpan w:val="1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Where You Can Find More Information</w:t>
              </w:r>
            </w:hyperlink>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800" w:type="dxa"/>
            <w:vAlign w:val="bottom"/>
            <w:tcBorders>
              <w:top w:val="single" w:sz="8" w:color="0000EE"/>
            </w:tcBorders>
            <w:gridSpan w:val="11"/>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Information Incorporated by Reference</w:t>
              </w:r>
            </w:hyperlink>
          </w:p>
        </w:tc>
        <w:tc>
          <w:tcPr>
            <w:tcW w:w="1620" w:type="dxa"/>
            <w:vAlign w:val="bottom"/>
            <w:gridSpan w:val="4"/>
          </w:tcPr>
          <w:p>
            <w:pPr>
              <w:spacing w:after="0"/>
              <w:rPr>
                <w:sz w:val="17"/>
                <w:szCs w:val="17"/>
                <w:color w:val="auto"/>
              </w:rPr>
            </w:pPr>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Legal Matters</w:t>
              </w:r>
            </w:hyperlink>
          </w:p>
        </w:tc>
        <w:tc>
          <w:tcPr>
            <w:tcW w:w="1660" w:type="dxa"/>
            <w:vAlign w:val="bottom"/>
            <w:gridSpan w:val="5"/>
          </w:tcPr>
          <w:p>
            <w:pPr>
              <w:spacing w:after="0"/>
              <w:rPr>
                <w:sz w:val="17"/>
                <w:szCs w:val="17"/>
                <w:color w:val="auto"/>
              </w:rPr>
            </w:pPr>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Experts</w:t>
              </w:r>
            </w:hyperlink>
          </w:p>
        </w:tc>
        <w:tc>
          <w:tcPr>
            <w:tcW w:w="3420" w:type="dxa"/>
            <w:vAlign w:val="bottom"/>
            <w:gridSpan w:val="12"/>
          </w:tcPr>
          <w:p>
            <w:pPr>
              <w:spacing w:after="0"/>
              <w:rPr>
                <w:sz w:val="17"/>
                <w:szCs w:val="17"/>
                <w:color w:val="auto"/>
              </w:rPr>
            </w:pPr>
          </w:p>
        </w:tc>
        <w:tc>
          <w:tcPr>
            <w:tcW w:w="6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is part of a “shelf” registration statement that we filed with the Securities and Exchange Commission, or the SEC, as a “well-known seasoned issuer” (as defined in Rule 405 of the Securities Act of 1933, as amended, or the Securities Act), using a “shelf” registration process. Under this shelf registration process, we may, from time to time, offer and/or sell any combination of the securities described in this prospectus, and the selling security holders named in this prospectus or that may be identified in an applicable prospectus supplement, may, from time to time, resell up to 17,459,436 shares of our common stock, in each case in one or more offerings. This prospectus provides you with a general description of the securities we and/or selling security holders may offer. This prospectus does not contain all the information set forth in the registration statement as permitted by the rules of the SEC. Each time we or selling security holders sell securities, to the extent required, we will provide a supplement to this prospectus that will contain specific information about the terms of that offering. That prospectus supplement may also add, update or change information contained in this prospectus. Before purchasing any securities, you should carefully read both this prospectus and any applicable prospectus supplement, together with the additional information described in this prospectus under the headings “Where You Can Find More Information” and “Information Incorporated by Reference.”</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in this prospectus and in any applicable prospectus supplement, including any information incorporated by reference. Neither we nor the selling security holders have authorized any other person to provide you with different information. If anyone provides you with different or inconsistent information, you should not rely on it. You should not assume that the information appearing in this prospectus, any prospectus supplement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distribution of this prospectus may be restricted by law in certain jurisdictions. You should inform yourself about and observe any of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When used in this prospectus or in any supplement to this prospectus, the terms “Diamondback Energy,” the “Company,” “we,” “our” and “us” refer to Diamondback Energy, Inc. and its consolidated subsidiaries, unless otherwise indicated or the context otherwise requires.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prospectus, including the documents incorporated by reference, contains forward-looking statements. These forward-looking statements are subject to a number of risks and uncertainties, many of which are beyond our control, which may include statements about our:</w:t>
      </w:r>
    </w:p>
    <w:p>
      <w:pPr>
        <w:spacing w:after="0" w:line="51"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expectations regarding the consummation of any acquisitions;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All of these types of statements, other than statements of historical fact included or incorporated by reference in this prospectus, are forward-looking statements. In some cases, you can identify forward-looking statements by terminology such as “may,” “could,” “should,” “expect,” “plan,” “project,” “intend,” “anticipate,” “believe,” “estimate,” “predict,” “potential,” “pursue,” “target,” “seek,” “objective” or “continue,” the negative of such terms or other comparable terminology.</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forward-looking statements contained or incorporated by reference in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 addition, our management’s assumptions about future events may prove to be inaccurate. Our management cautions all readers that the forward-looking statements contained in this prospectus are not guarantees of future performance, and we cannot assure any reader that such statements will be realized or the forward-looking events and circumstances will occur. Actual results may differ materially from those anticipated or implied in the forward-looking statements due to the many factors including those described under “Risk Factors” incorporated by reference herein and elsewhere in this prospectus. All forward-looking statements contained in this prospectus or included in a document incorporated by reference herein speak only as of the date hereof or thereof, respectively. We do not intend to publicly update or revise any forward-looking statements as a result of new information, future events or otherwise. These cautionary statements qualify all forward-looking statements attributable to us or persons acting on our behalf.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COMPANY</w:t>
      </w:r>
    </w:p>
    <w:p>
      <w:pPr>
        <w:spacing w:after="0" w:line="17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are an independent oil and natural gas company currently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activities are primarily focused on the Clearfork, Spraberry, Wolfcamp, Cline, Strawn and Atoka formations, which we refer to collectively as the Wolfberry play. The Wolfberry play is characterized by high oil and liquids rich natural gas, multiple vertical and horizontal target horizons, extensive production history, long-lived reserves and high drilling success rates. The Wolfberry play is a modification and extension of the Spraberry play, the majority of which is designated in the Spraberry trend area field.</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principal executive offices are located at 500 West Texas, Suite 1225, Midland, Texas, and our telephone number at that address is (432) 221-7400. We also lease additional office space in Midland and in Oklahoma City, Oklahoma. Our website address is www.diamondbackenergy.com. Information contained on our website does not constitute part of this prospectus.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SUBSIDIARY GUARANTORS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One or more of our existing and any future subsidiaries may jointly and severally, fully and unconditionally guarantee our payment obligations under any series of debt securities offered by this prospectus. Financial information concerning our guarantor subsidiaries and non-guarantor subsidiaries, if any, is included in our consolidated financial statements filed as a part of our periodic reports filed pursuant to the Securities Exchange Act of 1934, as amended, or the Exchange Act, to the extent required by the rules and regulations of the SEC.</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Additional information concerning our subsidiaries and us is, or will be, as the case may be, included in the reports and other documents incorporated by reference in this prospectus or any applicable prospectus supplement. See “Where You Can Find More Information.”</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Investment in our securities involves certain risks. You should carefully consider the factors contained below and in our annual report on Form 10-K for the fiscal year ended December 31, 2012 under the headings “Risk Factors” and “Management’s Discussion and Analysis of Financial Condition and Results of Operations—Critical Accounting Estimates” and in any other filings we made with the SEC prior to the filing of this prospectus under the heading “Risk Factors” before investing in our securities. You should also consider similar information contained in any annual report on Form 10-K or other document filed by us with the SEC after the date of this prospectus before deciding to invest in our securities. We will also include in any prospectus supplement a description of any other risk factors applicable to an offering contemplated by such prospectus supplement. Additional risks and uncertainties not currently known to us or that we currently view as immaterial may also impair our business operations. Any of these risks could materially and adversely affect our business, financial condition, results of operations and cash flows and could result in a loss of all or part of your investment.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two largest stockholders, Wexford Capital LP, or Wexford Capital, and Gulfport Energy Corporation, or Gulfport, control a significant percentage of our common stock, and their interests may conflict with those of our other stockholders.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Gulfport and certain affiliates of Wexford Capital are included as selling security holders in this prospectus. As of the date of this prospectus, Wexford Capital and Gulfport beneficially owned approximately 25.0% and 12.1%, respectively, of our common stock. In addition, individuals affiliated with Wexford Capital and Gulfport serve on our Board of Directors, and Gulfport has the right to designate one individual as a nominee for election to our Board of Directors so long as it continues to beneficially own more than 10% of our outstanding common stock. As a result, Wexford Capital and Gulfport will be able to exercise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common stock will be able to affect the way we are managed or the direction of our business. The interests of Wexford Capital and Gulfport with respect to matters potentially or actually involving or affecting us, such as future acquisitions, financings and other corporate opportunities and attempts to acquire us, may conflict with the interests of our other stockholders. This concentrated ownership will make it difficult for another company to acquire us and for you to receive any related takeover premium for your shares unless Wexford Capital and Gulfport approve the acquisition.</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Wexford Capital, our equity sponsor, or other affiliates of ours to benefit from corporate opportunities that might otherwise be available to us.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90"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permits us to enter into transactions with entities in which one or more of our officers or directors are financially or otherwise interested;</w:t>
      </w:r>
    </w:p>
    <w:p>
      <w:pPr>
        <w:spacing w:after="0" w:line="90"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50" w:lineRule="exact"/>
        <w:rPr>
          <w:rFonts w:ascii="Arial" w:cs="Arial" w:eastAsia="Arial" w:hAnsi="Arial"/>
          <w:sz w:val="18"/>
          <w:szCs w:val="18"/>
          <w:color w:val="auto"/>
        </w:rPr>
      </w:pPr>
    </w:p>
    <w:p>
      <w:pPr>
        <w:ind w:left="660" w:right="100" w:hanging="206"/>
        <w:spacing w:after="0" w:line="29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create the possibility that a corporate opportunity that would otherwise be available to us may be used for the benefit of one of our affiliates.</w:t>
      </w:r>
    </w:p>
    <w:p>
      <w:pPr>
        <w:spacing w:after="0" w:line="27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have engaged in transactions with our affiliates and expect to do so in the future. The terms of such transactions and the resolution of any conflicts that may arise may not always be in our or our stockholders’ best interests.</w:t>
      </w:r>
    </w:p>
    <w:p>
      <w:pPr>
        <w:spacing w:after="0" w:line="5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have engaged in transactions and expect to continue to engage in transactions with affiliated companies. As described under the caption “Certain Relationships and Related Party Transactions” incorporated by reference into this prospectus from our definitive proxy statement on Schedule 14A, these transactions include, among others, drilling services provided to us by Bison Drilling and Field Services, LLC, real property leased by us from Fasken Midland, LLC and Caliber Investment Croup, LLC, hydraulic fracturing sand purchased by us from Muskie Proppant LLC and certain administrative services provided to us by Everest Operations Management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LLC. Each of these entities is either controlled by or affiliated with Wexford Capital, and the resolution of any conflicts that may arise in connection with such related party transactions, including pricing, duration or other terms of service, may not always be in our or our stockholders’ best interests because Wexford Capital may have the ability to influence the outcome of these conflicts. For a discussion of potential conflicts, see “—Risks Related to this Offering and our Common Stock—Our two largest stockholders control a significant percentage of our common stock, and their interests may conflict with those of our other stockholders” beginning on page 2 of this prospectus.</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and through December 31, 2013 will remain, an “emerging growth company,” as defined in the Jumpstart Our Business Startups Act of 2012, and until we cease to be an emerging growth company we may take advantage of certain exemptions from various reporting requirements that are applicable to other public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Investors may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Under the Jumpstart Our Business Startups Act, “emerging growth companies” can delay adopting new or revised accounting standards until such time as those standards apply to private companies. We have irrevocably elected not to avail ourselves to this exemption from new or revised accounting standards and, therefore, we will be subject to the same new or revised accounting standards as other public companies that are not “emerging growth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as a result of being a public company, which may significantly affect our financial condition.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completed our initial public offering in October 2012. As a public company, we incur significant legal, accounting and other expenses that we did not incur as a private company. We also incur costs associated with our public company reporting requirements and with corporate governance requirements, including requirements under the Sarbanes-Oxley Act of 2002, as well as rules implemented by the SEC and the Financial Industry Regulatory Authority. These rules and regulations increase our legal and financial compliance costs and make some activities more time-consuming and costly, and we expect that these costs may increase further after we are no longer an “emerging growth company.”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our common stock is listed on the NASDAQ Select Global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volume fluctuations, and the price of our common stock could fluctuate widely in response to several factors, including:</w:t>
      </w:r>
    </w:p>
    <w:p>
      <w:pPr>
        <w:spacing w:after="0" w:line="90"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or annual 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recommendations by securities analysts following our business or our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business, earnings estimates or market perceptions of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industry, general market or economic conditions;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legislative or regulatory changes.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future sales may occur, may cause our stock price to decline.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Sales of substantial amounts of our common stock in the public market, or the perception that these sales may occur, could cause the market price of our common stock to decline. In addition, the sale of such shares, or the perception that such sales may occur, could impair our ability to raise capital through the sale of additional common or preferred stock. Except for any shares purchased by our affiliates, all of the shares of common stock sold in our initial public offering and our subsequent offerings are, and all of the shares of common stock sold under this prospectus or in any applicable prospectus supplement will be, freely tradable. In connection with our initial public offering, we also granted DB Energy Holdings LLC, or DB Holdings, and Gulfport and their respective affiliates certain registration rights obligating us to register with the SEC their shares of our common stock. The selling security holders’ shares included in the registration statement of which this prospectus is a part are being registered in accordance with these obligations. In the event that one or more of our stockholders sells a substantial amount of our common stock in the public market, or the market perceives that such sales may occur, the price of our stock could decline.</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certificate of incorporation authorizes us to issue, without the approval of our stockholders, one or more classes or series of preferred stock having such designations, preferences, limitations and relative rights,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17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the company, which could adversely affect the price of our common stock.</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w:t>
      </w:r>
    </w:p>
    <w:p>
      <w:pPr>
        <w:spacing w:after="0" w:line="59" w:lineRule="exact"/>
        <w:rPr>
          <w:sz w:val="20"/>
          <w:szCs w:val="20"/>
          <w:color w:val="auto"/>
        </w:rPr>
      </w:pPr>
    </w:p>
    <w:p>
      <w:pPr>
        <w:ind w:left="660" w:right="82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regulating the ability of our stockholders to nominate directors for election or to bring matters for action at annual meetings of our stockholders;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ability of our stockholders to call a special meeting and act by written consent;</w:t>
      </w:r>
    </w:p>
    <w:p>
      <w:pPr>
        <w:spacing w:after="0" w:line="90" w:lineRule="exact"/>
        <w:rPr>
          <w:rFonts w:ascii="Arial" w:cs="Arial" w:eastAsia="Arial" w:hAnsi="Arial"/>
          <w:sz w:val="18"/>
          <w:szCs w:val="18"/>
          <w:color w:val="auto"/>
        </w:rPr>
      </w:pPr>
    </w:p>
    <w:p>
      <w:pPr>
        <w:ind w:left="660" w:right="240" w:hanging="206"/>
        <w:spacing w:after="0" w:line="33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of our board of directors to adopt, amend or repeal bylaws, and the requirement that the affirmative vote of holders representing at least 66 2/3% of the voting power of all outstanding shares of capital stock be obtained for stockholders to amend our bylaws;</w:t>
      </w:r>
    </w:p>
    <w:p>
      <w:pPr>
        <w:spacing w:after="0" w:line="4" w:lineRule="exact"/>
        <w:rPr>
          <w:rFonts w:ascii="Arial" w:cs="Arial" w:eastAsia="Arial" w:hAnsi="Arial"/>
          <w:sz w:val="16"/>
          <w:szCs w:val="16"/>
          <w:color w:val="auto"/>
        </w:rPr>
      </w:pPr>
    </w:p>
    <w:p>
      <w:pPr>
        <w:ind w:left="660" w:right="5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remove directors;</w:t>
      </w:r>
    </w:p>
    <w:p>
      <w:pPr>
        <w:spacing w:after="0" w:line="50" w:lineRule="exact"/>
        <w:rPr>
          <w:rFonts w:ascii="Arial" w:cs="Arial" w:eastAsia="Arial" w:hAnsi="Arial"/>
          <w:sz w:val="18"/>
          <w:szCs w:val="18"/>
          <w:color w:val="auto"/>
        </w:rPr>
      </w:pPr>
    </w:p>
    <w:p>
      <w:pPr>
        <w:ind w:left="660" w:right="5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amend our certificate of incorporation;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authorization given to our board of directors to issue and set the terms of preferred stock without the approval of our stockholders.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22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We do not intend to pay cash dividends on our common stock in the foreseeable future, and therefore only appreciation of the price of our common stock will provide a return to our stockholders.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currently anticipate that we will retain all future earnings, if any, to finance the growth and development of our business. We do not intend to pay cash dividends in the foreseeable future. Any future determination as to the declaration and payment of cash dividends will be at the discretion of our board of directors and will depend upon our financial condition, results of operations, contractual restrictions, capital requirements, business prospects and other factors deemed relevant by our board of directors. In addition, the terms of our revolving credit facility prohibit us from paying dividends and making other distributions. As a result, only appreciation of the price of our common stock, which may not occur, will provide a return to our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Unless the applicable prospectus supplement indicates otherwise, we intend to use the net proceeds from the sale of the securities by us for general corporate purposes, including without limitation repaying or refinancing all or a portion of our existing short-term and long-term debt, making acquisitions of assets, businesses or securities, capital expenditures and for working capital. The precise amount and timing of the application of such proceeds will depend upon our funding requirements and the availability and cost of other capital. Pending any specific application of the net proceeds, we intend to invest our net proceeds in short-term, investment-grade securities, interest-bearing securities or guaranteed obligations of the United States or its agencies.</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will not receive any proceeds from the sale of any shares of common stock by selling security holders, unless we otherwise indicate in any applicable prospectus supplement.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RATIO OF EARNINGS (DEFICIT) TO FIXED CHARGES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sets forth our ratios of earnings (deficit) to fixed charges for the periods indicated. We have calculated the ratio of earnings (deficit) to fixed charges by dividing the sum of income from continuing operations plus fixed charges by fixed charges. Fixed charges consist of interest expense. The financial measures used in this table may not be comparable to similarly titled financial measures used in our various agreements, including our revolving credit facility and the indenture that governs our outstanding senior notes.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4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Nine Months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714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Ended</w:t>
            </w: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14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140" w:type="dxa"/>
            <w:vAlign w:val="bottom"/>
            <w:vMerge w:val="restart"/>
          </w:tcPr>
          <w:p>
            <w:pPr>
              <w:spacing w:after="0"/>
              <w:rPr>
                <w:sz w:val="20"/>
                <w:szCs w:val="20"/>
                <w:color w:val="auto"/>
              </w:rPr>
            </w:pPr>
            <w:r>
              <w:rPr>
                <w:rFonts w:ascii="Arial" w:cs="Arial" w:eastAsia="Arial" w:hAnsi="Arial"/>
                <w:sz w:val="18"/>
                <w:szCs w:val="18"/>
                <w:color w:val="auto"/>
              </w:rPr>
              <w:t>Ratio of earnings (deficit) to fixed charges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3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4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11.9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122.6</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4" w:lineRule="exact"/>
        <w:rPr>
          <w:sz w:val="20"/>
          <w:szCs w:val="20"/>
          <w:color w:val="auto"/>
        </w:rPr>
      </w:pPr>
    </w:p>
    <w:p>
      <w:pPr>
        <w:ind w:left="5680" w:right="3500" w:hanging="5672"/>
        <w:spacing w:after="0" w:line="440" w:lineRule="auto"/>
        <w:tabs>
          <w:tab w:leader="none" w:pos="4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were inadequate to cover fixed charges for the year ended December 31, 2008 by $85.0 million. 7</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 HOLDERS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shares of our common stock covered by this prospectus are being offered by the selling security holders listed in the table below. This prospectus will not cover subsequent sales of common stock purchased from a selling security holder named in this prospectus.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 offer or sale under this prospectus may be made by a security holder unless that holder is listed in the table below, in a supplement to this prospectus or in an amendment to the related registration statement that has become effective. We may supplement or amend this prospectus to include additional selling security holders upon provision of all required information to us and subject to the terms of the relevant agreement between us and certain of the selling security holders.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table sets forth the maximum number of shares of our common stock that may be sold by the selling security holders. We cannot predict when or in what amount any selling security holder may sell any of the shares offered by such selling security holder in this prospectus, if at all. The table also sets forth the name of each selling security holder, the nature of any position, office, or other material relationship which the selling security holder has had, within the past three years, with us or with any of our predecessors or affiliates, and the number of shares of our common stock to be owned by such selling security holder after completion of the offering. We are filing the registration statement of which this prospectus is a part pursuant to contractual obligations with certain of the selling security holders, as described in more detail below. We will pay all expenses relating to the registration of the shares by the selling security holders under the Securities Act and any other offering expenses, except that the selling security holders will pay any underwriting discounts or commissions.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prepared the table based on information provided to us by the selling security holders. We have not sought to verify such information. Additionally, the selling security holders may have sold or transferred some or all of their shares of our common stock in transactions exempt from the registration requirements of the Securities Act since the date on which the information in the table was provided to us. Other information about the selling security holders may also change over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indicated, each selling security holder has sole voting and dispositive power with respect to such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Shares of</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98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20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98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Beneficially Owned Prior to the</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Being Offered</w:t>
            </w:r>
          </w:p>
        </w:tc>
        <w:tc>
          <w:tcPr>
            <w:tcW w:w="20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Beneficially Owned After</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Selling Security Holder</w:t>
            </w:r>
          </w:p>
        </w:tc>
        <w:tc>
          <w:tcPr>
            <w:tcW w:w="2860" w:type="dxa"/>
            <w:vAlign w:val="bottom"/>
            <w:vMerge w:val="restart"/>
          </w:tcPr>
          <w:p>
            <w:pPr>
              <w:spacing w:after="0"/>
              <w:rPr>
                <w:sz w:val="14"/>
                <w:szCs w:val="14"/>
                <w:color w:val="auto"/>
              </w:rPr>
            </w:pPr>
          </w:p>
        </w:tc>
        <w:tc>
          <w:tcPr>
            <w:tcW w:w="1540" w:type="dxa"/>
            <w:vAlign w:val="bottom"/>
            <w:gridSpan w:val="2"/>
          </w:tcPr>
          <w:p>
            <w:pPr>
              <w:jc w:val="center"/>
              <w:ind w:left="640"/>
              <w:spacing w:after="0"/>
              <w:rPr>
                <w:sz w:val="20"/>
                <w:szCs w:val="20"/>
                <w:color w:val="auto"/>
              </w:rPr>
            </w:pPr>
            <w:r>
              <w:rPr>
                <w:rFonts w:ascii="Arial" w:cs="Arial" w:eastAsia="Arial" w:hAnsi="Arial"/>
                <w:sz w:val="14"/>
                <w:szCs w:val="14"/>
                <w:b w:val="1"/>
                <w:bCs w:val="1"/>
                <w:color w:val="auto"/>
                <w:w w:val="92"/>
              </w:rPr>
              <w:t>Offering(1)</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Hereby</w:t>
            </w:r>
          </w:p>
        </w:tc>
        <w:tc>
          <w:tcPr>
            <w:tcW w:w="2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Completion of the Offering</w:t>
            </w:r>
          </w:p>
        </w:tc>
        <w:tc>
          <w:tcPr>
            <w:tcW w:w="0" w:type="dxa"/>
            <w:vAlign w:val="bottom"/>
          </w:tcPr>
          <w:p>
            <w:pPr>
              <w:spacing w:after="0"/>
              <w:rPr>
                <w:sz w:val="1"/>
                <w:szCs w:val="1"/>
                <w:color w:val="auto"/>
              </w:rPr>
            </w:pPr>
          </w:p>
        </w:tc>
      </w:tr>
      <w:tr>
        <w:trPr>
          <w:trHeight w:val="134"/>
        </w:trPr>
        <w:tc>
          <w:tcPr>
            <w:tcW w:w="2000" w:type="dxa"/>
            <w:vAlign w:val="bottom"/>
            <w:tcBorders>
              <w:bottom w:val="single" w:sz="8" w:color="auto"/>
            </w:tcBorders>
            <w:vMerge w:val="continue"/>
          </w:tcPr>
          <w:p>
            <w:pPr>
              <w:spacing w:after="0"/>
              <w:rPr>
                <w:sz w:val="11"/>
                <w:szCs w:val="11"/>
                <w:color w:val="auto"/>
              </w:rPr>
            </w:pPr>
          </w:p>
        </w:tc>
        <w:tc>
          <w:tcPr>
            <w:tcW w:w="2860" w:type="dxa"/>
            <w:vAlign w:val="bottom"/>
            <w:vMerge w:val="continue"/>
          </w:tcPr>
          <w:p>
            <w:pPr>
              <w:spacing w:after="0"/>
              <w:rPr>
                <w:sz w:val="11"/>
                <w:szCs w:val="11"/>
                <w:color w:val="auto"/>
              </w:rPr>
            </w:pPr>
          </w:p>
        </w:tc>
        <w:tc>
          <w:tcPr>
            <w:tcW w:w="1540" w:type="dxa"/>
            <w:vAlign w:val="bottom"/>
            <w:tcBorders>
              <w:top w:val="single" w:sz="8" w:color="auto"/>
            </w:tcBorders>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rPr>
              <w:t>Number</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Percent(2)</w:t>
            </w:r>
          </w:p>
        </w:tc>
        <w:tc>
          <w:tcPr>
            <w:tcW w:w="72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1"/>
                <w:szCs w:val="11"/>
                <w:color w:val="auto"/>
              </w:rPr>
            </w:pPr>
          </w:p>
        </w:tc>
        <w:tc>
          <w:tcPr>
            <w:tcW w:w="13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4"/>
              </w:rPr>
              <w:t>Percent(2)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DB Energy Holdings LLC(3)</w:t>
            </w:r>
          </w:p>
        </w:tc>
        <w:tc>
          <w:tcPr>
            <w:tcW w:w="9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gridSpan w:val="2"/>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11,092,717</w:t>
            </w:r>
          </w:p>
        </w:tc>
        <w:tc>
          <w:tcPr>
            <w:tcW w:w="60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23.6%</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11,092,717</w:t>
            </w:r>
          </w:p>
        </w:tc>
        <w:tc>
          <w:tcPr>
            <w:tcW w:w="60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Wexford Spectrum Fund, L.P.(3)</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132,339</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132,339</w:t>
            </w:r>
          </w:p>
        </w:tc>
        <w:tc>
          <w:tcPr>
            <w:tcW w:w="60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Wexford Catalyst Fund, L.P.(3).</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20,915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Spectrum Intermediate Fund Limited(3)</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446,003</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446,003</w:t>
            </w:r>
          </w:p>
        </w:tc>
        <w:tc>
          <w:tcPr>
            <w:tcW w:w="60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Catalyst Intermediate Fund Limited(3)</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87,962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87,962</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Gulfport Energy Corporation(4)</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5,679,500</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12.1%</w:t>
            </w:r>
          </w:p>
        </w:tc>
        <w:tc>
          <w:tcPr>
            <w:tcW w:w="900" w:type="dxa"/>
            <w:vAlign w:val="bottom"/>
          </w:tcPr>
          <w:p>
            <w:pPr>
              <w:jc w:val="right"/>
              <w:spacing w:after="0"/>
              <w:rPr>
                <w:sz w:val="20"/>
                <w:szCs w:val="20"/>
                <w:color w:val="auto"/>
              </w:rPr>
            </w:pPr>
            <w:r>
              <w:rPr>
                <w:rFonts w:ascii="Arial" w:cs="Arial" w:eastAsia="Arial" w:hAnsi="Arial"/>
                <w:sz w:val="18"/>
                <w:szCs w:val="18"/>
                <w:color w:val="auto"/>
              </w:rPr>
              <w:t>5,679,500</w:t>
            </w:r>
          </w:p>
        </w:tc>
        <w:tc>
          <w:tcPr>
            <w:tcW w:w="600" w:type="dxa"/>
            <w:vAlign w:val="bottom"/>
          </w:tcPr>
          <w:p>
            <w:pPr>
              <w:spacing w:after="0"/>
              <w:rPr>
                <w:sz w:val="19"/>
                <w:szCs w:val="19"/>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jc w:val="both"/>
        <w:ind w:left="460" w:right="60" w:hanging="452"/>
        <w:spacing w:after="0" w:line="29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purposes of this table, a person or group of persons is deemed to have “beneficial ownership” of any shares which such person has the right to acquire within 60 days. For purposes of computing the percentage of outstanding shares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2"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of beneficial ownership is based upon 47,067,116 shares of common stock outstanding as of October 28, 2013. Because the selling security holders are not obligated to sell any portion of the shares of our common stock shown as offered by them, we cannot estimate the actual number or percentage of shares of our common stock that will be held by any selling security holder upon completion of this offering. However, for purposes of this table, we have assumed that, after completion of the offering, none of the shares covered by this prospectus will be held by the applicable selling security holder.</w:t>
      </w:r>
    </w:p>
    <w:p>
      <w:pPr>
        <w:ind w:left="460" w:hanging="452"/>
        <w:spacing w:after="0" w:line="300"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solely on Schedule 13D/A filed with the SEC on July 2, 2013 by DB Energy Holdings LLC (“DB Holdings”), Wexford Spectrum Fund, L.P. (“WSF”), Wexford Catalyst Fund, L.P. (“WCF”), Spectrum Intermediate Fund Limited (“SIF”), Catalyst Intermediate Fund Limited (“CIF” and, together with DB Holdings, WSF, WCF and SIF, the “Funds”), Wexford Capital LP (“Wexford Capital”), Wexford GP LLC (“Wexford GP”), Charles E. Davidson (“Mr. Davidson”) and Joseph M. Jacobs (“Mr. Jacobs”), the Form 4 filed with the SEC on July 9, 2013 by DB Holdings, the Form 4 filed with the SEC on July 9, 2013 by Wexford Capital, Wexford GP, Mr. Davidson and Mr. Jacobs and the Company’s records. DB Holdings is a holding company managed by Wexford Capital. WSF, WCF, SIF and CIF are investment funds managed by Wexford Capital. Wexford Capital is an investment advisor registered with the SEC, and manages a series of investment funds. Wexford GP is the general partner of Wexford Capital. Mr. Davidson and Mr. Jacobs are the managing members of Wexford GP. DB has shared voting and dispositive power over 11,092,717 shares. WSF has shared voting and dispositive power over 132,339 shares. WCF has shared voting and dispositive power over 20,915 shares. SIF has shared voting and dispositive power over 446,003 shares. CIF has shared voting and dispositive power over 87,962 shares. Wexford Capital, Wexford GP, Mr. Davidson and Mr. Jacobs have shared voting and dispositive power over 11,786,702 shares, which amount (i) includes an aggregate of 6,666 shares of our common stock assigned to Wexford Capital by Mr. West, one of our directors, and Mr. Jacobi, one of our former directors, pursuant to the terms of their employment with Wexford Capital and (ii) excludes and aggregate of 2,222 unvested restricted stock units held by Mr. West, which will vest on October 11, 2014 assigned to Wexford Capital pursuant to the terms of</w:t>
      </w:r>
    </w:p>
    <w:p>
      <w:pPr>
        <w:spacing w:after="0" w:line="6" w:lineRule="exact"/>
        <w:rPr>
          <w:rFonts w:ascii="Arial" w:cs="Arial" w:eastAsia="Arial" w:hAnsi="Arial"/>
          <w:sz w:val="15"/>
          <w:szCs w:val="15"/>
          <w:color w:val="auto"/>
        </w:rPr>
      </w:pPr>
    </w:p>
    <w:p>
      <w:pPr>
        <w:ind w:left="460" w:right="20"/>
        <w:spacing w:after="0" w:line="281" w:lineRule="auto"/>
        <w:rPr>
          <w:rFonts w:ascii="Arial" w:cs="Arial" w:eastAsia="Arial" w:hAnsi="Arial"/>
          <w:sz w:val="15"/>
          <w:szCs w:val="15"/>
          <w:color w:val="auto"/>
        </w:rPr>
      </w:pPr>
      <w:r>
        <w:rPr>
          <w:rFonts w:ascii="Arial" w:cs="Arial" w:eastAsia="Arial" w:hAnsi="Arial"/>
          <w:sz w:val="16"/>
          <w:szCs w:val="16"/>
          <w:color w:val="auto"/>
        </w:rPr>
        <w:t>Mr. West’s employment with Wexford Capital. Wexford Capital may, by reason of its status as manager or investment manager of the Funds, be deemed to own beneficially the securities of which the Funds possess beneficial ownership. Wexford GP may, as the General Partner of Wexford Capital, be deemed to own beneficially the securities of which the Funds possess beneficial ownership. Each of Mr. Davidson and Mr. Jacobs may, by reason of his status as a controlling person of Wexford GP, be deemed to own beneficially the securities of which the Funds possess beneficial ownership. Each of Wexford Capital, Wexford GP, Mr. Davidson and Mr. Jacobs disclaims beneficial ownership of the securities owned by the Funds except, in the case of Mr. Davidson and Mr. Jacobs, to the extent of their respective interests in the Funds. Wexford Capital’s address is Wexford Plaza, 411 West Putnam Avenue, Greenwich, Connecticut 06830. We have entered into a registration rights agreement with DB Holdings, a selling security holder named in this prospectus, which agreement is incorporated herein by reference. Under this agreement, DB Holdings and its transferees have certain demand and “piggyback” registration rights. The demand rights enable each such security holder to require us to register its shares of our common stock with the SEC. The piggyback rights allow each such security holder to register the shares of our common stock that it owns along with any shares that we register with the SEC. These registration rights are subject to customary conditions and limitations, including the right of the underwriters of an offering to limit the number of shares. The shares of common stock that may be offered by the Funds pursuant to this prospectus and any required prospectus supplement have been included herein under the terms of the piggyback registration rights. All expenses of such registrations (including both demand and piggyback registrations), other than any underwriting discounts and commissions, will be paid by us. For a full description of our material relationships with DB Holdings and its affiliates, please see “Certain Relationships and Related Party Transactions” appearing in our definitive proxy statement on Schedule 14A, which information is incorporated herein by reference.</w:t>
      </w:r>
    </w:p>
    <w:p>
      <w:pPr>
        <w:spacing w:after="0" w:line="10" w:lineRule="exact"/>
        <w:rPr>
          <w:rFonts w:ascii="Arial" w:cs="Arial" w:eastAsia="Arial" w:hAnsi="Arial"/>
          <w:sz w:val="15"/>
          <w:szCs w:val="15"/>
          <w:color w:val="auto"/>
        </w:rPr>
      </w:pPr>
    </w:p>
    <w:p>
      <w:pPr>
        <w:ind w:left="460" w:right="340" w:hanging="452"/>
        <w:spacing w:after="0" w:line="30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solely on the Form 4 filed with the SEC on July 9, 2013 by Gulfport Energy Corporation. Gulfport Energy Corporation’s address is 14313 North May Avenue, Suite 100, Oklahoma City, Oklahoma 73134. We have entered into an investor rights agreement with Gulfport, a selling security holder named in this prospectus, which agreement is incorporated herein by reference. Under this agreement, Gulfport has certain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demand and “piggyback” registration rights. The demand rights enable such security holder to require us to register its shares of our common stock with the SEC. The piggyback rights allow such security holder to register the shares of our common stock that it owns along with any shares that we register with the SEC. These registration rights are subject to customary conditions and limitations, including the right of the underwriters of an offering to limit the number of shares. The shares of common stock that may be offered by Gulfport pursuant to this prospectus and any required prospectus supplement have been included herein under the terms of the piggyback registration rights. All expenses of such registrations (including both demand and piggyback registrations), other than underwriting discounts and commissions, will be paid by us. For a full description of our material relationships with Gulfport and its affiliates, please see “Certain Relationships and Related Party Transactions” appearing in our definitive proxy statement on Schedule 14A, which information is incorporated herein by reference.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We may issue debt securities in one or more series. When used in this Description of Debt Securities and Guarantees section, unless we state otherwise or the context clearly indicates otherwise, references to “the Company,” “Diamondback Energy,” “we,” “us” and “our” refer only to Diamondback Energy, Inc.</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may issue senior or subordinated debt securities. Neither the senior debt securities nor the subordinated debt securities will be secured by any of our property or assets. Thus, by owning a debt security, you will be one of our unsecured creditors.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senior debt securities will constitute part of our senior debt, will be issued under our senior debt indenture described below and will rank equally with all of our other unsecured and unsubordinated debt.</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subordinated debt securities will constitute part of our subordinated debt, will be issued under our subordinated debt indenture described below and will be subordinate in right of payment to all of our “senior debt,” as defined in the indenture with respect to such subordinated debt securities. The prospectus supplement for any series of subordinated debt securities or the information incorporated in this prospectus by reference will indicate the approximate amount of senior debt outstanding as of the end of the then most recent fiscal quarter. Neither indenture limits our ability to incur additional senior debt or other indebtedness.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we refer to “debt securities” in this prospectus, we mean both the senior debt securities and the subordinated debt securities.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debt securities may have the benefit of guarantees (each, a “guarantee”) by one or more of our existing or future subsidiaries, including Diamondback O&amp;G LLC, Diamondback E&amp;P LLC and Viper Energy Partners LLC, specified as a “guarantor” (each, a “guarantor”) in the prospectus supplement for the series of such debt securities. If a guarantor issues guarantees, the guarantees will be unsecured and, if guaranteeing senior debt securities, unsubordinated or, if guaranteeing subordinated debt securities, subordinated obligations of the respective guarantors. Unless otherwise expressly stated or the context otherwise requires, as used in this section, the term “guaranteed debt securities” means debt securities that, as described in the prospectus supplement relating thereto, are guaranteed by one or more guarantors pursuant to the applicable indenture.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debt indentures and their associated documents, including your debt security, contain the full legal text of the matters described in this section and your prospectus supplement. We have filed forms of the indentures with the SEC as exhibits to our registration statement, of which this prospectus is a part. See “Where You Can Find More Information” in this prospectus for information on how to obtain copies of them.</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section and your prospectus supplement summarize material terms of the indentures and your debt security. They do not, however, describe every aspect of the indentures and your debt security. For example, in this section and your prospectus supplement, we use terms that have been given special meaning in the indentures, but we describe the meaning for only the more important of those terms. Your prospectus supplement will have a more detailed description of the specific terms of your debt security and any applicable guarantees.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senior debt securities and subordinated debt securities are each governed by a document called an indenture. Each indenture is a contract between us and a trustee to be named prior to the issuance of debt securities thereunder. The indentures are substantially identical, except for certain provisions including those relating to subordination, which are included only in the indenture related to subordinated debt securities.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under each indenture has two main roles:</w:t>
      </w:r>
    </w:p>
    <w:p>
      <w:pPr>
        <w:spacing w:after="0" w:line="90" w:lineRule="exact"/>
        <w:rPr>
          <w:sz w:val="20"/>
          <w:szCs w:val="20"/>
          <w:color w:val="auto"/>
        </w:rPr>
      </w:pPr>
    </w:p>
    <w:p>
      <w:pPr>
        <w:ind w:left="660" w:right="4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First, the trustee can enforce your rights against us if we default. There are some limitations on the extent to which the trustee acts on your behalf, which we describe later under “—Default, Remedies and Waiver of Default.”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Second, the trustee performs administrative duties for us, such as sending you interest payments and notices.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When we refer to “the indenture” or “the trustee” with respect to any debt securities, we mean the indenture under which those debt securities are issued and the trustee under that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of Debt Securities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issue as many distinct debt securities or series of debt securities under either indenture as we wish. This section summarizes terms of the securities that apply generally to all debt securities and series of debt securities. The provisions of each indenture allow us not only to issue debt securities with terms different from those of debt securities previously issued under that indenture, but also to “reopen” a previously issued series of debt securities and issue additional debt securities of that series. We will describe most of the financial and other specific terms of your series, whether it is a series of the senior debt securities or the subordinated debt securities, in the prospectus supplement for that series. Those terms may vary from the terms described here.</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you read this section, please remember that the specific terms of your debt security as described in your prospectus supplement will supplement and, if applicable, modify or replace the general terms described in this section. If there are any differences between your prospectus supplement and this prospectus with respect to your debt security, your prospectus supplement will control. Thus, the statements we make in this section may not apply to your debt security.</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When we refer to “debt securities” or a “series of debt securities,” we mean, respectively, debt securities or a series of debt securities issued under the applicable indenture. When we refer to “your prospectus supplement,” we mean the prospectus supplement describing the specific terms of the debt security you purchase. The terms used in your prospectus supplement will have the meanings described in this prospectus, unless otherwise specified.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of Issuances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Neither indenture limits the aggregate amount of debt securities that we may issue or the number of series or the aggregate amount of any particular series.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may issue debt securities and other securities at any time without your consent and without notifying you.</w:t>
      </w:r>
    </w:p>
    <w:p>
      <w:pPr>
        <w:spacing w:after="0" w:line="16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indentures and the debt securities do not limit our ability to incur other indebtedness or to issue other securities. Also, unless otherwise specified below or in your prospectus supplement, we are not subject to financial or similar restrictions by the terms of the debt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 Stated Maturity and Maturity</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Unless otherwise stated, the principal amount of a debt security means the principal amount payable at its stated maturity, unless that amount is not determinable, in which case the principal amount of a debt security is its face amount.</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term “stated maturity” with respect to any debt security means the day on which the principal amount of your debt security is scheduled to become due. The principal may become due sooner, by reason of redemption, acceleration after a default or otherwise in accordance with the terms of the debt security. The day on which the principal actually becomes due, whether at the stated maturity or earlier, is called the “maturity” of the principal.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We also use the terms “stated maturity” and “maturity” to refer to the days when other payments become due. For example, we may refer to a regular interest payment date when an installment of interest is scheduled to become due as the “stated maturity” of that installment. When we refer to the “stated maturity” or the “maturity” of a debt security without specifying a particular payment, we mean the stated maturity or maturity, as the case may be, of the principal.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prospectus supplement will describe the specific terms of your debt security, which will include some or all of the following:</w:t>
      </w:r>
    </w:p>
    <w:p>
      <w:pPr>
        <w:spacing w:after="0" w:line="90"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series of your debt security and whether it is a senior debt security or a subordinated debt security;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limit on the total principal amount of the debt securities of the same series;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stated maturity;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or currencies for principal and interest, if not U.S. dollars;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price at which we originally issue your debt security, expressed as a percentage of the principal amount, and the original issue date;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your debt security is a fixed rate debt security, a floating rate debt security or an indexed debt security;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your debt security is a fixed rate debt security, the yearly rate at which your debt security will bear interest, if any, and the interest payment dates;</w:t>
      </w:r>
    </w:p>
    <w:p>
      <w:pPr>
        <w:spacing w:after="0" w:line="113" w:lineRule="exact"/>
        <w:rPr>
          <w:rFonts w:ascii="Arial" w:cs="Arial" w:eastAsia="Arial" w:hAnsi="Arial"/>
          <w:sz w:val="16"/>
          <w:szCs w:val="16"/>
          <w:color w:val="auto"/>
        </w:rPr>
      </w:pPr>
    </w:p>
    <w:p>
      <w:pPr>
        <w:ind w:left="660" w:right="40" w:hanging="206"/>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your debt security is a floating rate debt security, the interest rate basis; any applicable index currency or index maturity, spread or spread multiplier or initial base rate, maximum rate or minimum rate; the interest reset, determination, calculation and payment dates; the day count convention used to calculate interest payments for any period; the business day convention; and the calculation agent;</w:t>
      </w:r>
    </w:p>
    <w:p>
      <w:pPr>
        <w:spacing w:after="0" w:line="59"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your debt security is an indexed debt security, the principal amount, if any, we will pay you at maturity, interest payment dates, the amount of interest, if any, we will pay you on an interest payment date or the formula we will use to calculate these amounts, if any, and the terms on which your debt security will be exchangeable for or payable in cash, securities or other property;</w:t>
      </w:r>
    </w:p>
    <w:p>
      <w:pPr>
        <w:spacing w:after="0" w:line="59" w:lineRule="exact"/>
        <w:rPr>
          <w:rFonts w:ascii="Arial" w:cs="Arial" w:eastAsia="Arial" w:hAnsi="Arial"/>
          <w:sz w:val="18"/>
          <w:szCs w:val="18"/>
          <w:color w:val="auto"/>
        </w:rPr>
      </w:pPr>
    </w:p>
    <w:p>
      <w:pPr>
        <w:ind w:left="660" w:right="40" w:hanging="206"/>
        <w:spacing w:after="0" w:line="294"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your debt security may be converted into or exercised or exchanged for common or preferred stock or other securities of the Company or debt or equity securities of one or more third parties, the terms on which conversion, exercise or exchange may occur, including whether conversion, exercise or exchange is mandatory, at the option of the holder or at our option, the period during which conversion, exercise or exchange may occur, the initial conversion, exercise or exchange price or rate and the circumstances or manner in which the amount of common or preferred stock or other securities issuable upon conversion, exercise or exchange may be adjusted;</w:t>
      </w:r>
    </w:p>
    <w:p>
      <w:pPr>
        <w:spacing w:after="0" w:line="34" w:lineRule="exact"/>
        <w:rPr>
          <w:rFonts w:ascii="Arial" w:cs="Arial" w:eastAsia="Arial" w:hAnsi="Arial"/>
          <w:sz w:val="16"/>
          <w:szCs w:val="16"/>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your debt security is also an original issue discount debt security, the yield to maturity;</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the circumstances under which your debt security may be redeemed at our option or repaid at the holder’s option before the stated maturity, including any redemption commencement date, repayment date(s), redemption price(s) and redemption period(s);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authorized denominations, if other than $2,000 and integral multiples of $1,000;</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depositary for your debt security, if other than The Depository Trust Company (“DTC”), and any circumstances under which the holder may request securities in non-global form, if we choose not to issue your debt security in book-entry form only;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4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circumstances under which we will pay additional amounts on any debt securities held by a person who is not a United States person for tax purposes and under which we can redeem the debt securities if we have to pay additional amounts;</w:t>
      </w:r>
    </w:p>
    <w:p>
      <w:pPr>
        <w:spacing w:after="0" w:line="5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your debt security will be guaranteed by any guarantors and, if so, the identity of the guarantors and, to the extent the terms thereof differ from those described in this prospectus, a description of the terms of the guarantees;</w:t>
      </w:r>
    </w:p>
    <w:p>
      <w:pPr>
        <w:spacing w:after="0" w:line="5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names and duties of any co-trustees, depositaries, authenticating agents, paying agents, transfer agents or registrars for your debt security, as applicable;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other terms of your debt security and any guarantees of your debt security, which could be different from those described in this prospectus.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and the debt securities (and any guarantees thereof) will be governed by New York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Securities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will issue each debt security only in registered form, without coupons, unless we specify otherwise in the applicable prospectus supplement. In addition, we will issue each debt security in global—i.e., book-entry—form only, unless we specify otherwise in the applicable prospectus supplement. Debt securities in book-entry form will be represented by a global security registered in the name of a depositary, which will be the holder of all the debt securities represented by the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References to “holders” in this section mean those who own debt securities registered in their own names, on the books that we or the trustee maintain for this purpose, and not those who own beneficial interests in debt securities registered in street name or in debt securities issued in book-entry form through one or more depositaries.</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is a summary of the depositary arrangements applicable to debt securities issued in global form and for which DTC acts as depositary.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global debt security will be deposited with, or on behalf of, DTC, as depositary, or its nominee, and registered in the name of a nominee of DTC.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Except under the limited circumstances described below, global debt securities are not exchangeable for definitive certificated debt securities.</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Ownership of beneficial interests in a global debt security is limited to institutions that have accounts with DTC or its nominee, or persons that may hold interests through those participants. In addition, ownership of beneficial interests by participants in a global debt security will be evidenced only by, and the transfer of that ownership interest will be effected only through, records maintained by DTC or its nominee for a global debt security. Ownership of beneficial interests in a global debt security by persons that hold those interests through participants will be evidenced only by, and the transfer of that ownership interest within that participant will be effected only through, records maintained by that participant. DTC has no knowledge of the actual beneficial owners of the debt securities. Beneficial owners will not receive written confirmation from DTC of their purchase, but beneficial owners are expected to receive written confirmations providing details of the transaction, as well as periodic statements of their holdings, from the participants through which the beneficial owners entered the transaction. The laws of some jurisdictions require that certain purchasers of securities take physical delivery of securities they purchase in definitive form. These laws may impair your ability to transfer beneficial interests in a global debt security.</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will make payment of principal of, and interest on, debt securities represented by a global debt security registered in the name of or held by DTC or its nominee to DTC or its nominee, as the case may be, as the registered owner and holder of the global debt security representing those debt securities. DTC has advised us that upon receipt of any payment of principal of, or interest on, a global debt security, DTC immediately will credit accounts of participants on its book-entry registration and transfer system with payments in amounts proportionate to their respective interests in the principal amount of that global debt security, as shown in the records of DTC. Payments by participants to owners of beneficial interests in a global debt security held through those participants will be governed by standing instructions and customary practices, as is now the case with securities held for the accounts of customers in bearer form or registered in “street name,” and will be the sole responsibility of those participants, subject to any statutory or regulatory requirements that may be in effect from time to time.</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Neither we, any trustee nor any of our respective agents will be responsible for any aspect of the records of DTC, any nominee or any participant relating to, or payments made on account of, beneficial interests in a permanent global debt security or for maintaining, supervising or reviewing any of the records of DTC, any nominee or any participant relating to such beneficial interests.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global debt security is exchangeable for definitive debt securities registered in the name of, and a transfer of a global debt security may be registered to, any person other than DTC or its nominee, only if:</w:t>
      </w:r>
    </w:p>
    <w:p>
      <w:pPr>
        <w:spacing w:after="0" w:line="51" w:lineRule="exact"/>
        <w:rPr>
          <w:sz w:val="20"/>
          <w:szCs w:val="20"/>
          <w:color w:val="auto"/>
        </w:rPr>
      </w:pPr>
    </w:p>
    <w:p>
      <w:pPr>
        <w:ind w:left="66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for that global security or has ceased to be a registered clearing agency and we do not appoint another institution to act as depositary within 90 days;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notify the trustee that we wish to terminate that global security.</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Any global debt security that is exchangeable pursuant to the preceding sentence will be exchangeable in whole for definitive debt securities in registered form, of like tenor and of an equal aggregate principal amount as the global debt security, in denominations specified in the applicable prospectus supplement, if other than $2,000 and multiples of $1,000. The definitive debt securities will be registered by the registrar in the name or names instructed by DTC. We expect that these instructions may be based upon directions received by DTC from its participants with respect to ownership of beneficial interests in the global debt security.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as provided above, owners of the beneficial interests in a global debt security will not be entitled to receive physical delivery of debt securities in definitive form and will not be considered the holders of debt securities for any purpose under the indentures. No global debt security shall be exchangeable except for another global debt security of like denomination and tenor to be registered in the name of DTC or its nominee. Accordingly, each person owning a beneficial interest in a global debt security must rely on the procedures of DTC and, if that person is not a participant, on the procedures of the participant through which that person owns its interest, to exercise any rights of a holder under the global debt security or the indentures.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understand that, under existing industry practices, in the event that we request any action of holders, or an owner of a beneficial interest in a global debt security desires to give or take any action that a holder is entitled to give or take under the debt securities or the indentures, DTC would authorize the participants holding the relevant beneficial interests to give or take that action. Additionally, those participants would authorize beneficial owners owning through those participants to give or take that action or would otherwise act upon the instructions of beneficial owners owning through them.</w:t>
      </w:r>
    </w:p>
    <w:p>
      <w:pPr>
        <w:spacing w:after="0" w:line="113"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DTC has advised us that it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of its participants and to facilitate the clearance and settlement of transactions among its participants in securities through electronic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book-entry changes in accounts of the participants. By doing so, DTC eliminates the need for physical movement of securities certificates. DTC’s participants include securities brokers and dealers, banks, trust companies, clearing corporations, and certain other organizations. DTC is owned by a number of its participants and by the New York Stock Exchange, Inc. and NYSE Amex Equities.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Investors may hold interests in the debt securities outside the U.S. through the Euroclear System (“Euroclear”) or Clearstream Banking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interests in customers’ securities accounts in the depositaries’ names on the books of DTC.</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the Euroclear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any agents. Indirect access to Euroclear is also available to other firms that clear through or maintain a custodial relationship with a Euroclear Participant, either directly or indirectly.</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Securities clearance accounts and cash accounts with the Euroclear Operator are governed by the Terms and Conditions Governing Use of Euroclear, the related Operating Procedures of the Euroclear System, and applicable Belgian law (collectively, the “Terms and Conditions”). The Terms and Conditions govern transfers of securities and cash within Euroclear, withdrawals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2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agents, securities brokers and dealers, banks, trust companies, clearing corporations and certain other organizations and may include any agents. Indirect access to Clearstream is also</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available to others, such as banks, brokers, dealers and trust companies that clear through or maintain a custodial relationship with a Clearstream Participant either directly or indirectly.</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provided the descriptions herein of the operations and procedures of DTC, Euroclear and Clearstream solely as a matter of convenience. These operations and procedures are solely within the control of DTC, Euroclear and Clearstream and are subject to change by them from time to time. We believe that the sources from which the information in this section and elsewhere in this prospectus concerning DTC, Euroclear, the Euroclear Operator, the Cooperative, Euroclear’s system, Clearstream and Clearstream’s system has been obtained are reliable, but neither we, any underwriters nor the trustee takes any responsibility for the accuracy of the information.</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Initial settlement for the securities will be made in immediately available funds. Secondary market trading between DTC participants will occur in the ordinary way in accordance with DTC’s rules and will be settled in immediately available funds. Secondary market trading between Euroclear Participants and/or Clearstream Participants will occur in the ordinary way in accordance with the applicable rules and operating procedures of Euroclear and Clearstream, as applicable, and will be settled using the procedures applicable to conventional eurobonds in immediately available funds.</w:t>
      </w:r>
    </w:p>
    <w:p>
      <w:pPr>
        <w:spacing w:after="0" w:line="113"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Cross-market transfers between persons holding directly or indirectly through DTC, on the one hand, and directly or indirectly through Euroclear Participants or Clearstream Participants, on the other, will be effected in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Euroclear Participants and Clearstream Participants may not deliver instructions directly to their respective U.S. depositaries.</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Because of time-zone differences, credits of securities received in Euroclear or Clearstream as a result of a transaction with a DTC participant will be made during subsequent securities settlement processing and dated the business day following the DTC settlement date. Credits or any transactions in securities settled during this processing will be reported to the relevant Euroclear or Clearstream Participants on that following business day. Cash received in Euroclear or Clearstream as a result of sales of debt securities by or through a Euroclear Participant or a Clearstream Participant to a DTC participant will be received with value on the DTC settlement date but will be available in the relevant Euroclear or Clearstream cash account only as of the business day following settlement in DTC.</w:t>
      </w:r>
    </w:p>
    <w:p>
      <w:pPr>
        <w:spacing w:after="0" w:line="14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securities among participants of DTC, Euroclear and Clearstream, they are under no obligation to perform or continue to perform these procedures and these procedures may be discontinued at any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or Repayment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there are any provisions regarding redemption or repayment applicable to your debt security, we will describe them in your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or our affiliates may purchase debt securities from investors who are willing to sell from time to time, either in the open market at prevailing prices or in private transactions at negotiated prices. Debt securities that we or they purchase may, at our discretion, be held, resold or canceled.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Similar Transactions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generally permitted under the indentures to merge or consolidate with another corporation or other entity. We are also permitted under the indentures to sell all or substantially all of our assets to another corporation or other entity. With regard to any series of debt securities, however, we may not take any of these actions unless all the following conditions, among other things, are met:</w:t>
      </w:r>
    </w:p>
    <w:p>
      <w:pPr>
        <w:spacing w:after="0" w:line="59" w:lineRule="exact"/>
        <w:rPr>
          <w:sz w:val="20"/>
          <w:szCs w:val="20"/>
          <w:color w:val="auto"/>
        </w:rPr>
      </w:pPr>
    </w:p>
    <w:p>
      <w:pPr>
        <w:ind w:left="660" w:right="200" w:hanging="206"/>
        <w:spacing w:after="0" w:line="30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successor entity in the transaction is not the Company, the successor entity must be organized as a corporation, limited liability company, partnership or trust and must expressly assume our obligations under the debt securities of that series and the indenture with respect to that series. The successor entity may be organized under the laws of the United States, any state thereof or the District of Columbia.</w:t>
      </w:r>
    </w:p>
    <w:p>
      <w:pPr>
        <w:spacing w:after="0" w:line="25" w:lineRule="exact"/>
        <w:rPr>
          <w:rFonts w:ascii="Arial" w:cs="Arial" w:eastAsia="Arial" w:hAnsi="Arial"/>
          <w:sz w:val="16"/>
          <w:szCs w:val="16"/>
          <w:color w:val="auto"/>
        </w:rPr>
      </w:pPr>
    </w:p>
    <w:p>
      <w:pPr>
        <w:ind w:left="660" w:right="120" w:hanging="206"/>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the transaction, no default under the debt securities of that series has occurred and is continuing. For this purpose, “default under the debt securities of that series” means an event of default with respect to that series or any event that would be an event of default with respect to that series if the requirements for giving us default notice and for our default having to continue for a specific period of time were disregarded. We describe these matters below under “—Default, Remedies and Waiver of Default.”</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conditions described above are satisfied with respect to the debt securities of any series, we will not need to obtain the approval of the holders of those debt securities in order to merge or consolidate or to sell all or substantially all our assets. Also, these conditions will apply only if we wish to merge or consolidate with another entity or sell all or substantially all of our assets to another entity. We will not need to satisfy these conditions if we enter into other types of transactions, including any transaction in which we acquire the stock or assets of another entity, any transaction that involves a change of control of the Company but in which we do not merge or consolidate and any transaction in which we sell less than substantially all our assets.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successor entity will be substituted for the Company with respect to the debt securities of any series and under the indenture with the same effect as if it had been an original party to the indenture, and, except in the case of a lease, the Company will be relieved from any further obligations and covenants under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Provisions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Holders of subordinated debt securities should recognize that contractual provisions in the subordinated debt indenture may prohibit us from making payments on those securities. Subordinated debt securities are subordinate and junior in right of payment, to the extent and in the manner stated in the subordinated debt indenture, to all of our senior debt, as defined in the subordinated debt indenture, including all debt securities we have issued and will issue under the senior debt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subordinated debt indenture defines “senior debt” as:</w:t>
      </w:r>
    </w:p>
    <w:p>
      <w:pPr>
        <w:spacing w:after="0" w:line="90" w:lineRule="exact"/>
        <w:rPr>
          <w:sz w:val="20"/>
          <w:szCs w:val="20"/>
          <w:color w:val="auto"/>
        </w:rPr>
      </w:pPr>
    </w:p>
    <w:p>
      <w:pPr>
        <w:ind w:left="1460" w:right="200" w:hanging="547"/>
        <w:spacing w:after="0" w:line="306" w:lineRule="auto"/>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indebtedness under or in respect of our credit agreement, whether for principal, interest (including interest accruing after the filing of a petition initiating any proceeding pursuant to any bankruptcy law, whether or not the claim for such interest is allowed as a claim in such proceeding), reimbursement obligations, fees, commissions, expenses, indemnities or other amounts; and</w:t>
      </w:r>
    </w:p>
    <w:p>
      <w:pPr>
        <w:spacing w:after="0" w:line="25" w:lineRule="exact"/>
        <w:rPr>
          <w:rFonts w:ascii="Arial" w:cs="Arial" w:eastAsia="Arial" w:hAnsi="Arial"/>
          <w:sz w:val="16"/>
          <w:szCs w:val="16"/>
          <w:color w:val="auto"/>
        </w:rPr>
      </w:pPr>
    </w:p>
    <w:p>
      <w:pPr>
        <w:ind w:left="1460" w:right="660" w:hanging="547"/>
        <w:spacing w:after="0" w:line="332" w:lineRule="auto"/>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other indebtedness permitted under the terms of that indenture, unless the instrument under which such indebtedness is incurred expressly provides that it is on a parity with or subordinated in right of payment to the subordinated debt securities.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Notwithstanding the foregoing, “senior debt” will not include: (i) equity interests; (ii) any liability for taxes; (iii) any indebtedness to any of our subsidiaries or affiliates; (iv) any trade payables; or (v) any indebtedness incurred in violation of the subordinated debt indenture.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modify the subordination provisions, including the definition of senior debt, with respect to one or more series of subordinated debt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 modifications will be set forth in the applicable prospectus supplement.</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subordinated debt indenture provides that, unless all principal of and any premium or interest on the senior debt has been paid in full, no payment or other distribution may be made in respect of any subordinated debt securities in the following circumstances:</w:t>
      </w:r>
    </w:p>
    <w:p>
      <w:pPr>
        <w:spacing w:after="0" w:line="51" w:lineRule="exact"/>
        <w:rPr>
          <w:sz w:val="20"/>
          <w:szCs w:val="20"/>
          <w:color w:val="auto"/>
        </w:rPr>
      </w:pPr>
    </w:p>
    <w:p>
      <w:pPr>
        <w:ind w:left="660" w:right="42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of any insolvency or bankruptcy proceedings, or any receivership, liquidation, reorganization, assignment for creditors or other similar proceedings or events involving us or our assets;</w:t>
      </w:r>
    </w:p>
    <w:p>
      <w:pPr>
        <w:spacing w:after="0" w:line="50" w:lineRule="exact"/>
        <w:rPr>
          <w:rFonts w:ascii="Arial" w:cs="Arial" w:eastAsia="Arial" w:hAnsi="Arial"/>
          <w:sz w:val="18"/>
          <w:szCs w:val="18"/>
          <w:color w:val="auto"/>
        </w:rPr>
      </w:pPr>
    </w:p>
    <w:p>
      <w:pPr>
        <w:ind w:left="660" w:right="20" w:hanging="206"/>
        <w:spacing w:after="0" w:line="303" w:lineRule="auto"/>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 in the event and during the continuation of any default in the payment of principal of and any premium and interest on any senior debt beyond any applicable grace period or (b) in the event that any event of default with respect to any senior debt has occurred and is continuing, permitting the holders of that senior debt (or a trustee) to accelerate the maturity of that senior debt, whether or not the maturity is in fact accelerated (unless, in the case of</w:t>
      </w:r>
    </w:p>
    <w:p>
      <w:pPr>
        <w:spacing w:after="0" w:line="1" w:lineRule="exact"/>
        <w:rPr>
          <w:rFonts w:ascii="Arial" w:cs="Arial" w:eastAsia="Arial" w:hAnsi="Arial"/>
          <w:sz w:val="15"/>
          <w:szCs w:val="15"/>
          <w:color w:val="auto"/>
        </w:rPr>
      </w:pPr>
    </w:p>
    <w:p>
      <w:pPr>
        <w:ind w:left="660" w:right="140"/>
        <w:spacing w:after="0" w:line="323" w:lineRule="auto"/>
        <w:rPr>
          <w:rFonts w:ascii="Arial" w:cs="Arial" w:eastAsia="Arial" w:hAnsi="Arial"/>
          <w:sz w:val="15"/>
          <w:szCs w:val="15"/>
          <w:color w:val="auto"/>
        </w:rPr>
      </w:pPr>
      <w:r>
        <w:rPr>
          <w:rFonts w:ascii="Arial" w:cs="Arial" w:eastAsia="Arial" w:hAnsi="Arial"/>
          <w:sz w:val="16"/>
          <w:szCs w:val="16"/>
          <w:color w:val="auto"/>
        </w:rPr>
        <w:t>(a) or (b), the payment default or event of default has been cured or waived or ceased to exist and any related acceleration has been rescinded) or (c) in the event that any judicial proceeding is pending with respect to a payment default or event of default described in (a) or (b); or</w:t>
      </w:r>
    </w:p>
    <w:p>
      <w:pPr>
        <w:spacing w:after="0" w:line="11" w:lineRule="exact"/>
        <w:rPr>
          <w:rFonts w:ascii="Arial" w:cs="Arial" w:eastAsia="Arial" w:hAnsi="Arial"/>
          <w:sz w:val="15"/>
          <w:szCs w:val="15"/>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any subordinated debt securities have been declared due and payable before their stated maturity.</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If the trustee under the subordinated debt indenture or any holders of the subordinated debt securities receive any payment or distribution that is prohibited under the subordination provisions, then the trustee or the holders will have to repay that money to the holders of the senior debt.</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Even if the subordination provisions prevent us from making any payment when due on the subordinated debt securities of any series, we will be in default on our obligations under that series if we do not make the payment when due. This means that the trustee under the subordinated debt indenture and the holders of that series can take action against us, but they will not receive any money until the claims of the holders of senior debt have been fully satisfied.</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subordinated debt indenture allows the holders of senior debt to obtain a court order requiring us and any holder of subordinated debt securities to comply with the subordination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Covenant Defeasance and Satisfaction and Discharge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When we use the term defeasance, we mean discharge from some or all of our obligations under the indenture. If we deposit with the trustee funds or government securities, or if so provided in your prospectus supplement, obligations other than government securities, sufficient to make payments on any series of debt securities on the dates those payments are due and payable and other specified conditions are satisfied, then, at our option, either of the following will occur:</w:t>
      </w:r>
    </w:p>
    <w:p>
      <w:pPr>
        <w:spacing w:after="0" w:line="62" w:lineRule="exact"/>
        <w:rPr>
          <w:sz w:val="20"/>
          <w:szCs w:val="20"/>
          <w:color w:val="auto"/>
        </w:rPr>
      </w:pPr>
    </w:p>
    <w:p>
      <w:pPr>
        <w:ind w:left="660" w:right="10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such series and all obligations of any guarantors of such debt securities will also be discharged with respect to the guarantees of such debt securities (“legal defeasance”); or</w:t>
      </w:r>
    </w:p>
    <w:p>
      <w:pPr>
        <w:spacing w:after="0" w:line="5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be discharged from any covenants we make in the applicable indenture for the benefit of such series and the related events of default will no longer apply to us (“covenant defeasance”).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If we defease any series of debt securities, the holders of such securities will not be entitled to the benefits of the indenture, except for our obligations to register the transfer or exchange of such securities, replace stolen, lost or mutilated securities or maintain paying agencies and hold moneys for payment in trust. In case of covenant defeasance, our obligation to pay principal of and any premium and interest on the applicable series of debt securities will also survive.</w:t>
      </w:r>
    </w:p>
    <w:p>
      <w:pPr>
        <w:spacing w:after="0" w:line="8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will be required to deliver to the trustee an opinion of counsel that the deposit and related defeasance would not cause the holders of the applicable series of debt securities to recognize gain or loss for federal income tax purposes. If we elect legal defeasance, that opinion of counsel must be based upon a ruling from the United States Internal Revenue Service or a change in law to that effect.</w:t>
      </w:r>
    </w:p>
    <w:p>
      <w:pPr>
        <w:spacing w:after="0" w:line="14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Upon the effectiveness of defeasance with respect to any series of guaranteed debt securities, each guarantor of the debt securities of such series shall be automatically and unconditionally released and discharged from all of its obligations under its guarantee of the debt securities of such series and all of its other obligations under the applicable indenture in respect of the debt securities of that series, without any action by us, any guarantor or the trustee and without the consent of the holders of any debt securities.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with respect to debt securities of any series, other than our obligation to register the transfer of and exchange debt securities of that series, provided that we either:</w:t>
      </w:r>
    </w:p>
    <w:p>
      <w:pPr>
        <w:spacing w:after="0" w:line="51" w:lineRule="exact"/>
        <w:rPr>
          <w:sz w:val="20"/>
          <w:szCs w:val="20"/>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deliver all outstanding debt securities of that series to the trustee for cancellation; or</w:t>
      </w:r>
    </w:p>
    <w:p>
      <w:pPr>
        <w:spacing w:after="0" w:line="90" w:lineRule="exact"/>
        <w:rPr>
          <w:rFonts w:ascii="Arial" w:cs="Arial" w:eastAsia="Arial" w:hAnsi="Arial"/>
          <w:sz w:val="18"/>
          <w:szCs w:val="18"/>
          <w:color w:val="auto"/>
        </w:rPr>
      </w:pPr>
    </w:p>
    <w:p>
      <w:pPr>
        <w:ind w:left="660" w:right="160" w:hanging="206"/>
        <w:spacing w:after="0" w:line="335" w:lineRule="auto"/>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all such debt securities not so delivered for cancellation have either become due and payable or will become due and payable at their stated maturity within one year or are to be called for redemption within one year, and in the case of this bullet point, we have deposited with the trustee in trust an amount of cash sufficient to pay the entire indebtedness of such debt securities, including interest to the stated maturity or applicable redemption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member, manager, partner (whether general or limited), unitholder or stockholder of the Company or any guarantor, as such, will have any liability for any obligations of us or any guarantor, respectively, under the debt securities or the indentures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and any guarantees. The waiver may not be effective to waive liabilities under the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Remedies and Waiver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special rights if an event of default with respect to your series of debt securities occurs and is continuing, as described in this subsection.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Unless your prospectus supplement says otherwise, when we refer to an event of default with respect to any series of debt securities, we mean any of the following:</w:t>
      </w:r>
    </w:p>
    <w:p>
      <w:pPr>
        <w:spacing w:after="0" w:line="51" w:lineRule="exact"/>
        <w:rPr>
          <w:sz w:val="20"/>
          <w:szCs w:val="20"/>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do not pay the principal of and any premium on any debt security of that series on the due date;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do not pay interest on any debt security of that series within 30 days after the due date;</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do not deposit a sinking fund payment with regard to any debt security of that series within 60 days after the due date, but only if the payment is required under provisions described in the applicable prospectus supplement;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306"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remain in breach of our covenants regarding mergers or sales of substantially all of our assets or any other covenant we make in the indenture for the benefit of the relevant series, for 90 days after we receive a notice of default stating that we are in breach and requiring us to remedy the breach, which notice must be sent by the trustee or the holders of at least 25% in principal amount of the relevant series of debt securities;</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file for bankruptcy or other events of bankruptcy, insolvency or reorganization relating to the Company occur;</w:t>
      </w:r>
    </w:p>
    <w:p>
      <w:pPr>
        <w:spacing w:after="0" w:line="90" w:lineRule="exact"/>
        <w:rPr>
          <w:rFonts w:ascii="Arial" w:cs="Arial" w:eastAsia="Arial" w:hAnsi="Arial"/>
          <w:sz w:val="18"/>
          <w:szCs w:val="18"/>
          <w:color w:val="auto"/>
        </w:rPr>
      </w:pPr>
    </w:p>
    <w:p>
      <w:pPr>
        <w:ind w:left="660" w:right="140" w:hanging="206"/>
        <w:spacing w:after="0" w:line="306"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debt securities of that series are guaranteed debt securities, the guarantee of the debt securities of that series by any guarantor shall for any reason cease to be, or shall for any reason be asserted in writing by such guarantor or the Company, not to be, in full force and effect and enforceable in accordance with its terms, except to the extent contemplated or permitted by the indenture or the debt securities of that series; or</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applicable prospectus supplement states that any additional event of default applies to the series, that event of default occurs.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change, eliminate, or add to the events of default with respect to any particular series or any particular debt security or debt securities within a series, as indicated in the applicable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 if an Event of Default Occurs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If you are the holder of a subordinated debt security, all the remedies available upon the occurrence of an event of default under the subordinated debt indenture will be subject to the restrictions on the subordinated debt securities described above under “—Subordination Provisions.”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as otherwise specified in the applicable prospectus supplement, if an event of default has occurred with respect to any series of debt securities and has not been cured or waived, the trustee or the holders of not less than 25% in principal amount of all debt securities of that series then outstanding may declare the entire principal amount of the debt securities of that series to be due immediately. Except as otherwise specified in the applicable prospectus supplement, if the event of default occurs because of events in bankruptcy, insolvency or reorganization relating to the Company, the entire principal amount of the debt securities of that series will be automatically accelerated, without any action by the trustee or any holder.</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Each of the situations described above is called an acceleration of the stated maturity of the affected series of debt securities. Except as otherwise specified in the applicable prospectus supplement, if the stated maturity of any series is accelerated and a judgment for payment has not yet been obtained, the holders of a majority in principal amount of the debt securities of that series may cancel the acceleration for the entire series.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 event of default occurs, the trustee will have special duties. In that situation, the trustee will be obligated to use those of its rights and powers under the relevant indenture, and to use the same degree of care and skill in doing so, that a prudent person would use in that situation in conducting his or her own affairs.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as described in the prior paragraph, the trustee is not required to take any action under the relevant indenture at the request of any holders unless the holders offer the trustee reasonable protection from expenses and liability. This is called an indemnity. If the trustee is provided with an indemnity reasonably satisfactory to it, the holders of a majority in principal amount of all debt securities of the relevant series may direct the time, method and place of conducting any lawsuit or other formal legal action seeking any remedy available to the trustee with respect to that series. These majority holders may also direct the trustee in performing any other action under the relevant indenture with respect to the debt securities of that series.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Before you bypass the trustee and bring your own lawsuit or other formal legal action or take other steps to enforce your rights or protect your interests relating to any debt security, all of the following must occur:</w:t>
      </w:r>
    </w:p>
    <w:p>
      <w:pPr>
        <w:spacing w:after="0" w:line="51" w:lineRule="exact"/>
        <w:rPr>
          <w:sz w:val="20"/>
          <w:szCs w:val="20"/>
          <w:color w:val="auto"/>
        </w:rPr>
      </w:pPr>
    </w:p>
    <w:p>
      <w:pPr>
        <w:ind w:left="660" w:right="46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 of your debt security must give the trustee written notice that an event of default has occurred with respect to the debt securities of your series, and the event of default must not have been cured or waived;</w:t>
      </w:r>
    </w:p>
    <w:p>
      <w:pPr>
        <w:spacing w:after="0" w:line="50"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all debt securities of your series must make a written request that the trustee take action because of the default, and they or other holders must offer to the trustee indemnity reasonably satisfactory to the trustee against the cost and other liabilities of taking that action;</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the above steps have been taken; and</w:t>
      </w:r>
    </w:p>
    <w:p>
      <w:pPr>
        <w:spacing w:after="0" w:line="9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those 60 days, the holders of a majority in principal amount of the debt securities of your series must not have given the trustee directions that are inconsistent with the written request of the holders of not less than 25% in principal amount of the debt securities of your series.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are entitled at any time, however, to bring a lawsuit for the payment of money due on your debt security on or after its stated maturity (or, if your debt security is redeemable, on or after its redemption date).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Book-entry and other indirect owners should consult their banks or brokers for information on how to give notice or direction to or make a request of the trustee and how to declare or cancel an acceleration of the maturity.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 of Default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holders of not less than a majority in principal amount of the debt securities of any series may waive a default for all debt securities of that series. If this happens, the default will be treated as if it has not occurred. No one can waive a payment default on any debt security, however, without the approval of the particular holder of that debt security.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Information about Defaults to the Trustee</w:t>
      </w:r>
    </w:p>
    <w:p>
      <w:pPr>
        <w:spacing w:after="0" w:line="96"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We will furnish each trustee every year a written statement of two of our officers certifying that to their knowledge we are in compliance with the applicable indenture and the debt securities issued under it, or else specifying any default under the applicable indenture.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Waivers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are four types of changes we can make to either indenture and the debt securities or series of debt securities or any guarantees thereof issued under that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Requiring Each Holder’s Approval</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First, there are changes that cannot be made without the approval of each holder of a debt security affected by the change under the applicable debt indenture, including, among others:</w:t>
      </w:r>
    </w:p>
    <w:p>
      <w:pPr>
        <w:spacing w:after="0" w:line="51"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changing the stated maturity for any principal or interest payment on a debt security;</w:t>
      </w:r>
    </w:p>
    <w:p>
      <w:pPr>
        <w:spacing w:after="0" w:line="9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reducing the principal amount, the amount payable on acceleration of the maturity after a default, the interest rate or the redemption price for a debt security;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permitting redemption of a debt security if not previously permitted;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impairing any right a holder may have to require purchase of its debt security;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impairing any right that a holder of a convertible debt security may have to convert the debt security;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changing the currency of any payment on a debt security;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changing the place of payment on a debt security;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impairing a holder’s right to sue for payment of any amount due on its debt security;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releasing any guarantor of a debt security from any of its obligations under its guarantee thereof, except in accordance with the terms of the indenture;</w:t>
      </w:r>
    </w:p>
    <w:p>
      <w:pPr>
        <w:spacing w:after="0" w:line="113" w:lineRule="exact"/>
        <w:rPr>
          <w:rFonts w:ascii="Arial" w:cs="Arial" w:eastAsia="Arial" w:hAnsi="Arial"/>
          <w:sz w:val="16"/>
          <w:szCs w:val="16"/>
          <w:color w:val="auto"/>
        </w:rPr>
      </w:pPr>
    </w:p>
    <w:p>
      <w:pPr>
        <w:ind w:left="660" w:right="200" w:hanging="206"/>
        <w:spacing w:after="0" w:line="306"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reducing the percentage in principal amount of the debt securities of any one or more affected series, taken separately or together, as applicable, and whether comprising the same or different series or less than all of the debt securities of a series, the approval of whose holders is needed to change the indenture or those debt securities or waive our compliance with the applicable indenture or to waive defaults; and</w:t>
      </w:r>
    </w:p>
    <w:p>
      <w:pPr>
        <w:spacing w:after="0" w:line="25" w:lineRule="exact"/>
        <w:rPr>
          <w:rFonts w:ascii="Arial" w:cs="Arial" w:eastAsia="Arial" w:hAnsi="Arial"/>
          <w:sz w:val="16"/>
          <w:szCs w:val="16"/>
          <w:color w:val="auto"/>
        </w:rPr>
      </w:pPr>
    </w:p>
    <w:p>
      <w:pPr>
        <w:ind w:left="660" w:right="140" w:hanging="206"/>
        <w:spacing w:after="0" w:line="370" w:lineRule="auto"/>
        <w:tabs>
          <w:tab w:leader="none" w:pos="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changing the provisions of the applicable indenture dealing with modification and waiver in any other respect, except to increase any required percentage referred to above or to add to the provisions that cannot be changed or waived without approval of the holder of each affected debt security.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Not Requiring Approval</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second type of change does not require any approval by holders of the debt securities affected. These changes are limited to clarifications and changes that would not adversely affect any debt securities of any series in any material respect. Nor do we need any approval to make changes that affect only debt securities to be issued under the applicable indenture after the changes take effect. We may also make changes or obtain waivers that do not adversely affect a particular debt security, even if they affect other debt securities. In those cases, we do not need to obtain the approval of the holder of the unaffected debt security; we need only obtain any required approvals from the holders of the affected debt securities. We may also make changes to reflect the addition of, succession to or release of any guarantor of guaranteed debt securities otherwise permitted under the indenture. We may also make changes to conform the text of the applicable indenture or any debt securities or guarantees to any provision of the “Description of Debt Securities and Guarantees” in this prospectus or the comparable section in your prospectus supplement, to the extent such provision was intended to be a verbatim recitation of a provision of such indenture or debt securities or guarantees.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Subordination Provisions</w:t>
      </w:r>
    </w:p>
    <w:p>
      <w:pPr>
        <w:spacing w:after="0" w:line="96"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may not amend the indenture related to subordinated debt securities to alter the subordination of any outstanding subordinated debt securities without the written consent of each holder of senior debt then outstanding who would be adversely affected (or the group or representative thereof authorized or required to consent thereto pursuant to the instrument creating or evidencing, or pursuant to which there is outstanding, such senior debt). In addition, we may not modify the subordination provisions of the indenture related to subordinated debt securities in a manner that would adversely affect the subordinated debt securities of any one or more series then outstanding in any material respect, without the consent of the holders of a majority in aggregate principal amount of all affected series then outstanding, voting together as one class (and also of any affected series that by its terms is entitled to vote separately as a series, as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Requiring Majority Approval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a particular indenture and the debt securities issued under that indenture would require the following approval:</w:t>
      </w:r>
    </w:p>
    <w:p>
      <w:pPr>
        <w:spacing w:after="0" w:line="90" w:lineRule="exact"/>
        <w:rPr>
          <w:sz w:val="20"/>
          <w:szCs w:val="20"/>
          <w:color w:val="auto"/>
        </w:rPr>
      </w:pPr>
    </w:p>
    <w:p>
      <w:pPr>
        <w:ind w:left="660" w:right="2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change affects only particular debt securities within a series issued under the applicable indenture, it must be approved by the holders of a majority in principal amount of such particular debt securities;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 w:hanging="206"/>
        <w:spacing w:after="0" w:line="29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change affects debt securities of more than one series issued under the applicable indenture, it must be approved by the holders of a majority in principal amount of all debt securities of all such series affected by the change, with all such affected debt securities voting together as one class for this purpose and such affected debt securities of any series potentially comprising fewer than all debt securities of such series, in each case, except as may otherwise be provided pursuant to such indenture for all or any particular debt securities of any series. This means that modification of terms with respect to certain securities of a series could be effectuated without obtaining the consent of the holders of a majority in principal amount of other securities of such series that are not affected by such modification.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same majority approval would be required for us to obtain a waiver of any of our covenants in either indenture. Our covenants include the promises we make about merging or selling substantially all of our assets, which we describe above under “—Mergers and Similar Transactions.” If the holders approve a waiver of a covenant, we will not have to comply with it. The holders, however, cannot approve a waiver of any provision in a particular debt security, or in the applicable indenture as it affects that debt security, that we cannot change without the approval of the holder of that debt security as described above in “— Changes Requiring Each Holder’s Approval,” unless that holder approves the waiver.</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particular debt securities or a particular series of debt securities, as applicable, that are entitled, by their terms, to separately approve matters (for example, modification or waiver of provisions in the applicable indenture) that would also, or otherwise, require approval of holders of a majority in principal amount of all affected debt securities of all affected series issued under such indenture voting together as a single class. Any such affected debt securities or series of debt securities would be entitled to approve such matters (a) pursuant to such special rights by consent of holders of a majority in principal amount of such affected debt securities or series of debt securities voting separately as a class and (b) in addition, as described above, except as may otherwise be provided pursuant to the applicable indenture for such debt securities or series of debt securities, by consent of holders of a majority in principal amount of such affected debt securities or series of debt securities and all other affected debt securities of all series issued under such indenture voting together as one class for this purpose. We may issue series or debt securities of a series having these or other special voting rights without obtaining the consent of or giving notice to holders of outstanding debt securities or series.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Book-entry and other indirect owners should consult their banks or brokers for information on how approval may be granted or denied if we seek to change an indenture or any debt securities or request a waiver.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Rules for Action by Holders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Only holders of outstanding debt securities of the applicable series will be eligible to take any action under the applicable indenture, such as giving a notice of default, declaring an acceleration, approving any change or waiver or giving the trustee an instruction with respect to debt securities of that series. Also, we will count only outstanding debt securities in determining whether the various percentage requirements for taking action have been met. Any debt securities owned by us or any of our affiliates or surrendered for cancellation or for payment or redemption, for which money has been set aside in trust, are not deemed to be outstanding. Any required approval or waiver must be given by written consent.</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some situations, we may follow special rules in calculating the principal amount of debt securities that are to be treated as outstanding for the purposes described above. This may happen, for example, if the principal amount is payable in a non-U.S. dollar currency, increases over time or is not to be fixed until maturity.</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will generally be entitled to set any day as a record date for the purpose of determining the holders that are entitled to take action under either indenture. In certain limited circumstances, only the trustee will be entitled to set a record date for action by holders. If we or the trustee sets a record date for an approval or other action to be taken by holders, that vote or action may be taken only by persons or entities who are holders on the record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date and must be taken during the period that we specify for this purpose, or that the trustee specifies if it sets the record date. We or the trustee, as applicable, may shorten or lengthen this period from time to time. This period, however, may not extend beyond the 180th day after the record date for the action. In addition, record dates for any global debt security may be set in accordance with procedures established by the depositary from time to time. Accordingly, record dates for global debt securities may differ from those for other debt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debt securities cease to be issued in registered global form, they will be issued:</w:t>
      </w:r>
    </w:p>
    <w:p>
      <w:pPr>
        <w:spacing w:after="0" w:line="90"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only in fully registered form;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unless we indicate otherwise in your prospectus supplement, in denominations of $2,000 and integral multiples of $1,000.</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Holders may exchange their debt securities for debt securities of smaller denominations or combined into fewer debt securities of larger denominations, as long as the total principal amount is not changed. You may not exchange your debt securities for securities of a different series or having different terms, unless your prospectus supplement and the supplemental indenture with respect to your debt securities provide for such exchange.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Holders may exchange or transfer their debt securities at the office of the trustee. They may also replace lost, stolen, destroyed or mutilated debt securities at that office. We have appointed the trustee to act as our agent for registering debt securities in the names of holders and transferring and replacing debt securities. We may appoint another entity to perform these functions or perform them ourselves.</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Holders will not be required to pay a service charge to transfer or exchange their debt securities, but they may be required to pay for any tax or other governmental charge associated with the exchange or transfer. The transfer or exchange, and any replacement, will be made only if our transfer agent is satisfied with the holder’s proof of legal ownership. The transfer agent may require an indemnity before replacing any debt securities.</w:t>
      </w:r>
    </w:p>
    <w:p>
      <w:pPr>
        <w:spacing w:after="0" w:line="107"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the debt securities of any series are redeemable and we redeem less than all those debt securities,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of or exchange any debt security selected for redemption, except that we will continue to permit transfers and exchanges of the unredeemed portion of any debt security being partially redeemed.</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a debt security is issued as a global debt security, only DTC or other depositary will be entitled to transfer and exchange the debt security as described in this subsection because the depositary will be the sole holder of the debt security.</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rules for exchange described above apply to exchange of debt securities for other debt securities of the same series and kind. If a debt security is convertible, exercisable or exchangeable into or for a different kind of security, such as one that we have not yet issued, or for other property, the rules governing that type of conversion, exercise or exchange will be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pay interest, principal and other amounts payable with respect to the debt securities of any series to the holders of record of those debt securities as of the record dates and otherwise in the manner specified below or in the prospectus supplement for that series.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make payments on a global debt security in accordance with the applicable policies of the depositary as in effect from time to time. Under those policies, we will pay directly to the depositary, or its nominee, and not to any indirect owners who own beneficial interests in the global debt security. An indirect owner’s right to receive those payments will be governed by the rules and practices of the depositary and its participants.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make payments on a debt security in non-global, registered form as follows. We will pay interest that is due on an interest payment date by check mailed on the interest payment date to the holder at his or her address shown on the trustee’s records as of the close of business on the regular record date. We will make all other payments by check at the paying agent described below, against surrender of the debt security. All payments by check will be made in next-day funds—i.e., funds that become available on the day after the check is cashed.</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Alternatively, if a non-global debt security has a face amount of at least $1,000,000 and the holder asks us to do so, we will pay any amount that becomes due on the debt security by wire transfer of immediately available funds to an account at a bank in New York City, on the due date. To request wire payment, the holder must give the paying agent appropriate wire transfer instructions at least five business days before the requested wire payment is due. In the case of any interest payment due on an interest payment date, the instructions must be given by the person or entity who is the holder on the relevant regular record date. In the case of any other payment, payment will be made only after the debt security is surrendered to the paying agent. Any wire instructions, once properly given, will remain in effect unless and until new instructions are given in the manner described above.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owners should consult their banks or brokers for information on how they will receive payments on their debt securities.</w:t>
      </w:r>
    </w:p>
    <w:p>
      <w:pPr>
        <w:spacing w:after="0" w:line="194"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Regardless of who acts as paying agent, all money paid by us to a paying agent that remains unclaimed at the end of two years after the amount is due to a holder will be repaid to us. After that two-year period, the holder may look only to us for payment and not to the trustee, any other paying agent or anyone else.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debt securities of any series may be guaranteed by one or more of our existing and future subsidiaries, including Diamondback O&amp;G LLC, Diamondback E&amp;P LLC and Viper Energy Partners LLC. However, the applicable indenture governing the debt securities will not require that any of our subsidiaries be a guarantor of any series of debt securities and will permit the guarantors of any series of guaranteed debt securities to differ from the guarantors of any other series of guaranteed debt securities. If the Company issues a series of guaranteed debt securities, the identity of the specific guarantors of the debt securities of that series will be identified in the applicable prospectus supplement.</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we issue a series of guaranteed debt securities, a description of some of the terms of guarantees of those debt securities will be set forth in the applicable prospectus supplement. Unless otherwise provided in the prospectus supplement relating to a series of guaranteed debt securities, each guarantor of the debt securities of such series will fully and unconditionally guarantee, on a joint and several basis with each other guarantor, the due and punctual payment of the principal of, and premium, if any, and interest on each debt security of such series, all in accordance with the terms of such debt securities and the applicable indenture.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Notwithstanding the foregoing, unless otherwise provided in the prospectus supplement relating to a series of guaranteed debt securities, the applicable indenture will contain provisions to the effect that the obligations of each guarantor under its guarantees and such indenture shall be limited to the maximum amount as will, after giving effect to all other contingent and fixed liabilities of such guarantor, result in the obligations of such guarantor under such guarantees and such indenture not constituting a fraudulent conveyance or fraudulent transfer under applicable law. However, there can be no assurance that, notwithstanding such limitation, a court would not determine that a guarantee constituted a fraudulent conveyance or fraudulent transfer under applicable law. If that were to occur, the court could void the applicable guarantor’s obligations under that guarantee, subordinate that guarantee to other debt and other liabilities of that guarantor or take other action detrimental to holders of the debt securities of the applicable series, including directing the holders to return any payments received from the applicable guarantor.</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Unless otherwise provided in the prospectus supplement relating to a series of guaranteed debt securities, the applicable indenture will (i) provide that, upon the sale or disposition (by merger or otherwise) of any guarantor, (x) if the transferee is not an affiliate of the Company, such guarantor will automatically be released from all obligations under its guarantee of such debt securities or (y) otherwise, the transferee (if other than the Company or another guarantor) will assume the guarantor’s obligations under its guarantee of such debt securities and (ii) permit us to cause the guarantee of any guarantor of such debt securities to be released at any time if we satisfy such conditions, if any, as are specified in the prospectus supplement for such debt securities.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relating to any series of guaranteed debt securities will specify other terms of the applicable guarantees.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applicable prospectus supplement relating to a series of our senior debt securities provides that those senior debt securities will have the benefit of a guarantee by any or all of our subsidiaries, unless otherwise provided in the applicable prospectus supplement, each such guarantee will be the unsubordinated and unsecured obligation of the applicable guarantor and will rank equally in right of payment with all of the unsecured and unsubordinated indebtedness of such guarantor.</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Any guarantee of any debt securities will be effectively subordinated to all existing and future secured indebtedness of the applicable guarantor, including any secured guarantees of other Company debt, to the extent of the value of the collateral securing that indebtedness. Consequently, in the event of a bankruptcy, or similar proceeding with respect to any guarantor that has provided a guarantee of any debt securities, the holders of that guarantor’s secured indebtedness will be entitled to proceed directly against the collateral that secures that secured indebtedness and such collateral will not be available for satisfaction of any amount owed by such guarantor under its unsecured indebtedness, including its guarantees of any debt securities, until that secured debt is satisfied in full. Unless otherwise provided in the applicable prospectus supplement, the indenture will not limit the ability of any guarantor to incur secured indebtedness.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the applicable prospectus supplement relating to a series of our subordinated debt securities provides that those subordinated debt securities will have the benefit of a guarantee by any or all of our subsidiaries, unless otherwise provided in the applicable prospectus supplement, each such guarantee will be the subordinated and unsecured obligation of the applicable guarantor and, in addition to being effectively subordinated to secured debt of such guarantor, will be subordinated in right of payment to all of such guarantor’s existing and future senior indebtedness, including any guarantee of the senior debt securities, to the same extent and in the same manner as the subordinated debt securities are subordinated to our senior debt. See “—Subordination Provisions”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appoint one or more financial institutions to act as our paying agents, at whose designated offices debt securities in non-global entry form may be surrendered for payment at their maturity. We call each of those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offices a paying agent. We may add, replace or terminate paying agents from time to time. We may also choose to act as our own paying agent. We will specify in the prospectus supplement for your debt security the initial location of each paying agent for that debt security. We must notify the trustee of changes in the paying agents.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Notices to be given to holders of a global debt security will be given only to the depositary, in accordance with its applicable policies as in effect from time to time. Notices to be given to holders of debt securities not in global form will be sent by mail to the respective addresses of the holders as they appear in the trustee’s records, and will be deemed given when mailed. Neither the failure to give any notice to a particular holder, nor any defect in a notice given to a particular holder, will affect the sufficiency of any notice given to another 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Book-entry and other indirect owners should consult their banks or brokers for information on how they will receive notices.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the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for your debt security will describe any material relationships we may have with the trustee with respect to that debt security.</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same financial institution may initially serve as the trustee for our senior debt securities and subordinated debt securities. Consequently, if an actual or potential event of default occurs with respect to any of these securities, the trustee may be considered to have a conflicting interest for purposes of the Trust Indenture Act of 1939. In that case, the trustee may be required to resign under one or more of the indentures, and we would be required to appoint a successor trustee. For this purpose, a “potential” event of default means an event that would be an event of default if the requirements for giving us default notice or for the default having to exist for a specific period of time were disregarded.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description of our common stock, certificate of incorporation and our bylaws are summaries thereof and are qualified by reference to our certificate of incorporation and our bylaws, copies of which have been filed with the SEC.</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authorized capital stock consists of 100,000,000 shares of common stock, par value $0.01 per share, and 10,000,000 shares of preferred stock, par value $0.01 per share. Our common stock is listed on the NASDAQ Global Select Market under the symbol “FANG.”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 As of October 28, 2013, there were 47,067,116 shares of our common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board of directors is authorized to issue up to 10,000,000 shares of preferred stock in one or more series. The board of directors may fix for each series:</w:t>
      </w:r>
    </w:p>
    <w:p>
      <w:pPr>
        <w:spacing w:after="0" w:line="125"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distinctive serial designation and number of shares of the series;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voting powers and the right, if any, to elect a director or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office of any directors the holders of preferred shares are entitled to elect;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dividend rights, if 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redemption, and the amount of and provisions regarding any sinking fund for the purchase or redemption thereof;</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liquidation preferences and the amounts payable on dissolution or liquidation;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terms and conditions under which shares of the series may or shall be converted into any other series or class of stock or debt of the corporation; and</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terms or provisions which the board of directors is legally authorized to fix or alter.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 and have no present plans to issue any shares of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and Corporate Opportunities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90" w:lineRule="exact"/>
        <w:rPr>
          <w:sz w:val="20"/>
          <w:szCs w:val="20"/>
          <w:color w:val="auto"/>
        </w:rPr>
      </w:pPr>
    </w:p>
    <w:p>
      <w:pPr>
        <w:ind w:left="66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permits us to enter into transactions with entities in which one or more of our officers or directors are financially or otherwise interested so long as it has been approved by our board of directors;</w:t>
      </w:r>
    </w:p>
    <w:p>
      <w:pPr>
        <w:spacing w:after="0" w:line="5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50" w:lineRule="exact"/>
        <w:rPr>
          <w:rFonts w:ascii="Arial" w:cs="Arial" w:eastAsia="Arial" w:hAnsi="Arial"/>
          <w:sz w:val="18"/>
          <w:szCs w:val="18"/>
          <w:color w:val="auto"/>
        </w:rPr>
      </w:pPr>
    </w:p>
    <w:p>
      <w:pPr>
        <w:ind w:left="660" w:right="60" w:hanging="206"/>
        <w:spacing w:after="0" w:line="294"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Our Bylaws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Undesignated preferred stock. </w:t>
      </w:r>
      <w:r>
        <w:rPr>
          <w:rFonts w:ascii="Arial" w:cs="Arial" w:eastAsia="Arial" w:hAnsi="Arial"/>
          <w:sz w:val="18"/>
          <w:szCs w:val="18"/>
          <w:color w:val="auto"/>
        </w:rPr>
        <w:t>The ability to authorize and issue undesignated preferred stock may enable our board of directors to render more difficult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Stockholder meetings. </w:t>
      </w:r>
      <w:r>
        <w:rPr>
          <w:rFonts w:ascii="Arial" w:cs="Arial" w:eastAsia="Arial" w:hAnsi="Arial"/>
          <w:sz w:val="18"/>
          <w:szCs w:val="18"/>
          <w:color w:val="auto"/>
        </w:rPr>
        <w:t>Our certificate of incorporation and bylaws provide that a special meeting of stockholders may be called only by the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the Chief Executive Officer or by a resolution adopted by a majority of our board of directors.</w:t>
      </w:r>
    </w:p>
    <w:p>
      <w:pPr>
        <w:spacing w:after="0" w:line="132"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Requirements for advance notification of stockholder nominations and proposals. </w:t>
      </w:r>
      <w:r>
        <w:rPr>
          <w:rFonts w:ascii="Arial" w:cs="Arial" w:eastAsia="Arial" w:hAnsi="Arial"/>
          <w:sz w:val="15"/>
          <w:szCs w:val="15"/>
          <w:color w:val="auto"/>
        </w:rPr>
        <w:t>Our bylaws establish advance notice procedures with respect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 proposals and the nomination of candidates for election as directors, other than nominations made by or at the direction of the board of directors.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Stockholder action by written consent. </w:t>
      </w:r>
      <w:r>
        <w:rPr>
          <w:rFonts w:ascii="Arial" w:cs="Arial" w:eastAsia="Arial" w:hAnsi="Arial"/>
          <w:sz w:val="16"/>
          <w:szCs w:val="16"/>
          <w:color w:val="auto"/>
        </w:rPr>
        <w:t>Our certificate of incorporation provides that, except as may otherwise be provided with respect to the rights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66 2/3% of the voting power of all then outstanding shares of capital stock entitled to vote generally in the election of directors, voting together as a single class, makes it difficult for stockholders to initiate or effect an action by written consent that is opposed by our board.</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Amendment of the bylaws. </w:t>
      </w:r>
      <w:r>
        <w:rPr>
          <w:rFonts w:ascii="Arial" w:cs="Arial" w:eastAsia="Arial" w:hAnsi="Arial"/>
          <w:sz w:val="18"/>
          <w:szCs w:val="18"/>
          <w:color w:val="auto"/>
        </w:rPr>
        <w:t>Under Delaware law, the power to adopt, amend or repeal bylaws is conferred upon the stockholders. A corporation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then in office. Our stockholders may adopt, amend or repeal our bylaws but only at any regular or special meeting of stockholders by an affirmative vote of holders of at least 66 2/3% of the voting power of all then outstanding shares of capital stock entitled to vote generally in the election of directors, voting together as a single class.</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Removal of Director. </w:t>
      </w:r>
      <w:r>
        <w:rPr>
          <w:rFonts w:ascii="Arial" w:cs="Arial" w:eastAsia="Arial" w:hAnsi="Arial"/>
          <w:sz w:val="18"/>
          <w:szCs w:val="18"/>
          <w:color w:val="auto"/>
        </w:rPr>
        <w:t>Our certificate of incorporation and bylaws provide that members of our board of directors may only be removed by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holders of at least 66 2/3% of the voting power of all then outstanding shares of capital stock entitled to vote generally in the election of directors, voting together as a single class.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Amendment of the Certificate of Incorporation. </w:t>
      </w:r>
      <w:r>
        <w:rPr>
          <w:rFonts w:ascii="Arial" w:cs="Arial" w:eastAsia="Arial" w:hAnsi="Arial"/>
          <w:sz w:val="16"/>
          <w:szCs w:val="16"/>
          <w:color w:val="auto"/>
        </w:rPr>
        <w:t>Our certificate of incorporation provides that, in addition to any other vote that may be required by law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preferred stock designation, the affirmative vote of the holders of at least 66 2/3% of the voting power of all then outstanding shares of capital stock entitled to vote generally in the election of directors, voting together as a single class, is required to amend, alter or repeal, or adopt any provision as part of our certificate of incorporation inconsistent with the provisions of our certificate of incorporation dealing with distributions on our common stock, related party transactions, our board of directors, our bylaws, meetings of our stockholders or amendment of our certificate of incorporation.</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Offering and Sale of Securities</w:t>
      </w:r>
    </w:p>
    <w:p>
      <w:pPr>
        <w:spacing w:after="0" w:line="96"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We and the selling security holders, which as used in this prospectus includes donees, pledgees, transferees or other successors-in-interest selling common stock received after the date of this prospectus from a selling security holder as a gift, pledge, distribution or other transfer, may, from time to time, sell, transfer or otherwise dispose of any or all of the securities offered by this prospectus or any applicable prospectus supplement on any stock exchange, market or trading facility on which such securities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selling security holders may use any one or more of the following methods when disposing of the offered securities:</w:t>
      </w:r>
    </w:p>
    <w:p>
      <w:pPr>
        <w:spacing w:after="0" w:line="90"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short sales effected after the date of this prospectus;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broker-dealers may agree to sell a specified number of such common stock at a stipulated price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selling security holders also may resell all or a portion of the common stock in open market transactions in reliance upon Rule 144 under the Securities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If underwriters are used to sell the securities, we and the selling security holders, if any, will enter into an underwriting agreement or similar agreement with them at the time of the sale to them. In that event, underwriters may receive compensation from us and the selling security holders, if any, in the form of underwriting discounts or commissions and may also receive commissions from purchasers of the securities for whom they may act as agent.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required by applicable law, a prospectus supplement relating to the securities will set forth:</w:t>
      </w:r>
    </w:p>
    <w:p>
      <w:pPr>
        <w:spacing w:after="0" w:line="90" w:lineRule="exact"/>
        <w:rPr>
          <w:sz w:val="20"/>
          <w:szCs w:val="20"/>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offering terms, including the name or names of any underwriters, dealers or agents;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or amount of the securities involved, the purchase price of such securities and the proceeds to us and the selling security holders, if any, from such sale;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and other items constituting compensation to underwriters, dealers or agents;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an applicable prospectus supplement, the obligations of underwriters or dealers to purchase the securities will be subject to certain conditions precedent and the underwriters or dealers will be obligated to purchase all the securities if any are purchased. Any public offering price and any discounts or concessions allowed or reallowed or paid by underwriters or dealers to other dealers may be changed from time to time.</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selling security holders and any underwriters, dealers or agents that are involved in selling the securities may be deemed to be “underwriters” within the meaning of the Securities Act in connection with such sales. In such event, any commissions received by them and any profit on the resale of the securities purchased by them may be deemed to be underwriting commissions or discounts under the Securities Act.</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the shares sold in those jurisdictions may only be sold through registered or licensed brokers or dealers. In addition, in some states, the shares may not be sold unless the shares have been registered or qualified for sale in that state or an exemption from registration or qualification is available and is complied with.</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securities may be sold directly by us, the selling security holders or through agents designated by us from time to time. Any agent involved in the offer or sale of the securities in respect of which this prospectus and a prospectus supplement is delivered will be named, and any commissions payable by us or the selling security holders to such agent will be set forth, in any required prospectus supplement. Unless otherwise indicated in the prospectus supplement, any such agent will be acting on a best efforts basis for the period of its appointment.</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so indicated in the prospectus supplement, we or the selling security holders will authorize underwriters, dealers or agents to solicit offers from certain specified institutions to purchase securities from us or the selling security holders at the public offering price set forth in the prospectus supplement pursuant to delayed delivery contracts providing for payment and delivery on a specified date in the future. Such contracts will be subject to any conditions set forth in the prospectus supplement and the prospectus supplement will set forth the commissions payable for solicitation of such contracts. The underwriters and other persons soliciting such contracts will have no responsibility for the validity or performance of any such contracts.</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Underwriters, dealers and agents may be entitled under agreements entered into with us or the selling security holders to be indemnified by us against certain civil liabilities, including liabilities under the Securities Act, or to contribution by us to payments which they may be required to make. The terms and conditions of such indemnification will be described in an applicable prospectus supplement. Underwriters, dealers and agents may be customers of, engage in transactions with or perform services for us or the selling security holders in the ordinary course of business.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underwriters to whom securities are sold by us or the selling security holders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Certain persons participating in any offering of securities may engage in transactions that stabilize, maintain or otherwise affect the price of the securities offered. In connection with any such offering, the underwriters, dealers or agents, as the case may be, may purchase and sell securities in the open market. These transactions may include overallotment and stabilizing transactions and purchases to cover syndicate short positions created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offering. Stabilizing transactions consist of certain bids or purchases for the purpose of preventing or retarding a decline in the market price of the securities and syndicate short positions involve the sale by the underwriters, dealers or agents, as the case may be, of a greater number of securities than they are required to purchase from us in the offering. The underwriters may also impose a penalty bid, whereby selling concessions allowed to syndicate members or other broker-dealers for the securities sold for their account may be reclaimed by the syndicate if such securities are repurchased by the syndicate in stabilizing or covering transactions. These activities may stabilize, maintain or otherwise affect the market price of the securities, which may be higher than the price that might otherwise prevail in the open market, and if commenced, may be discontinued at any time. These transactions may be effected on The NASDAQ Global Select Market, in the over-the-counter market or otherwise. These activities will be described in more detail in the sections entitled “Plan of Distribution” or “Underwriting” in the applicable prospectus supplement.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filed with the SEC a registration statement on Form S-3 under the Securities Act covering the securities offered by this prospectus. This prospectus does not contain all of the information that you can find in that registration statement and its exhibits. Certain items are omitted from this prospectus in accordance with the rules and regulations of the SEC. For further information with respect to us and the securities offered by this prospectus, reference is made to the registration statement and the exhibits filed with the registration statement. Statements contained in this prospectus as to the contents of any contract or other document referred to are not necessarily complete and in each instance such statement is qualified by reference to each such contract or document filed with or incorporated by reference as part of the registration statement. We file reports, proxy and information statements and other information with the SEC. You may read any materials we have filed with the SEC free of charge at the SEC’s Public Reference Room at 100 F Street, N.E., Room 1580, Washington, D.C. 20549. Copies of all or any part of these documents may be obtained from such office upon the payment of the fees prescribed by the SEC. The public may obtain information on the operation of the public reference room by calling the SEC at 1-800-SEC-0330. The SEC maintains an Internet site that contains reports, proxy and information statements and other information regarding registrants that file electronically with the SEC. The address of the site is http://www.sec.gov. The registration statement, including all exhibits thereto and amendments thereof, has been filed electronically with the SEC.</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can also find our SEC filings on our website at www.diamondbackenergy.com. The information contained on our website or any other website is not incorporated by reference into this prospectus and does not constitute a part of this prospectus.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SEC allows us to “incorporate by reference” into this prospectus the information we provide in other documents filed by us with the SEC. The information incorporated by reference is an important part of this prospectus and any prospectus supplement. Any statement contained in a document that is incorporated by reference in this prospectus is automatically updated and superseded if information contained in this prospectus and any prospectus supplement, or information that we later file with the SEC, modifies and replaces this information. We incorporate by reference the following documents that we have filed with the SEC (except as indicated below with respect to Item 2.02 or Item 7.01 of Form 8-K):</w:t>
      </w:r>
    </w:p>
    <w:p>
      <w:pPr>
        <w:spacing w:after="0" w:line="35" w:lineRule="exact"/>
        <w:rPr>
          <w:sz w:val="20"/>
          <w:szCs w:val="20"/>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2012, filed with the SEC on March 1, 2013;</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Amendment No. 1 to our Annual Report on Form 10-K/A for the year ended December 31, 2012, filed with the SEC on April 11, 2013;</w:t>
      </w:r>
    </w:p>
    <w:p>
      <w:pPr>
        <w:spacing w:after="0" w:line="113"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the Annual Report on Form 10-K for the fiscal year ended December 31, 2012 from our Definitive Proxy Statement on Schedule 14A, filed with the SEC on April 30, 2013;</w:t>
      </w:r>
    </w:p>
    <w:p>
      <w:pPr>
        <w:spacing w:after="0" w:line="5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Quarterly Reports on Form 10-Q for the three months ended March 31, 2013, June 30, 2013 and September 30, 2013, filed with the SEC on May 9, 2013, August 8, 2013 and November 4, 2013, respectively;</w:t>
      </w:r>
    </w:p>
    <w:p>
      <w:pPr>
        <w:spacing w:after="0" w:line="50" w:lineRule="exact"/>
        <w:rPr>
          <w:rFonts w:ascii="Arial" w:cs="Arial" w:eastAsia="Arial" w:hAnsi="Arial"/>
          <w:sz w:val="18"/>
          <w:szCs w:val="18"/>
          <w:color w:val="auto"/>
        </w:rPr>
      </w:pPr>
    </w:p>
    <w:p>
      <w:pPr>
        <w:ind w:left="660" w:right="440" w:hanging="206"/>
        <w:spacing w:after="0" w:line="33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February 1, 2013, April 11, 2013, May 20, 2013, June 6, 2013, June 24, 2013, August 19, 2013, September 4, 2013, September 6, 2013, September 9, 2013, September 12, 2013, September 18, 2013 and September 25, 2013; and</w:t>
      </w:r>
    </w:p>
    <w:p>
      <w:pPr>
        <w:spacing w:after="0" w:line="4"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Form 8-A filed with the SEC on October 11, 2012, including any amendment to that form that we may file in the future for the purpose of updating the description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also incorporating by reference from our Registration Statement on Form S-1 (File No. 333-190462), originally filed with the SEC on August 8, 2013, as amended on August 14, 2013, (i) the historical Statements of Revenues and Direct Operating Expenses of certain property interests of Gulfport Energy Corporation and the related Report of Independent Certified Public Accountants and (ii) the Unaudited Pro Forma Condensed Consolidated Financial Statement prepared to show the effect the Company’s acquisition of Gulfport Energy Corporation’s oil and natural gas interests in the Permian Basin and the distribution by Windsor Permian LLC to its equity holders of its minority equity interests in Bison Drilling and Field Services LLC and Muskie Holdings LLC.</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addition, all documents filed by us with the SEC under Sections 13(a), 13(c), 14 or 15(d) of the Exchange Act (other than those furnished pursuant to Item 2.02 or Item 7.01 of Form 8-K, unless otherwise stated therein) after the date of this prospectus will be considered to be incorporated by reference into this prospectus and to be a part of this prospectus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unless otherwise indicated on such Form 8-K.</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request a copy of this prospectus or any of the incorporated documents (excluding exhibits, unless the exhibits are specifically incorporated) at no charge to you by writing to Teresa L. Dick, Chief Financial Officer, Diamondback Energy, Inc., 14301 Caliber Drive, Suite 300, Oklahoma City, Oklahoma; telephone: (405) 463-6900.</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the validity of the securities to be offered hereby offered by us and/or the selling security holders will be passed upon by Akin, Gump, Strauss, Hauer &amp; Feld, L.L.P. If legal matters in connection with offerings made by this prospectus are passed on by counsel for the underwriters, dealers or agents, if any, that counsel will be named in the applicable prospectus supplement.</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audited combined consolidated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40"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The audited statements of revenues and direct operating expenses of working and revenue interests of certain oil and gas properties owned by Gulfport Energy Corporation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Information incorporated by referenced in this prospectus regarding our estimated quantities of oil and gas reserves and the discounted present value of future net cash flows therefrom is based upon estimates of such reserves and present values prepared by Ryder Scott Company, L.P. as of December 31, 2012 and 2011 and by Pinnacle Energy Services, LLC as of December 31, 2010, each an independent petroleum engineering firm. This information is incorporated by reference in this prospectus in reliance upon the authority of such firms as experts in these matters.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3538855</wp:posOffset>
            </wp:positionV>
            <wp:extent cx="2426970" cy="3517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26970" cy="3517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lowerRoman"/>
      <w:start w:val="2"/>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2"/>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2019-12-08T22:12:11Z</dcterms:created>
  <dcterms:modified xsi:type="dcterms:W3CDTF">2019-12-08T22:12:11Z</dcterms:modified>
</cp:coreProperties>
</file>