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149860</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9, 2024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DIAMONDBACK ENERGY, INC.</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55880</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p>
      <w:pPr>
        <w:spacing w:after="0" w:line="188"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001-35700</w:t>
      </w:r>
    </w:p>
    <w:p>
      <w:pPr>
        <w:spacing w:after="0" w:line="31"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45-4502447</w:t>
      </w:r>
    </w:p>
    <w:p>
      <w:pPr>
        <w:spacing w:after="0" w:line="31"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p>
      <w:pPr>
        <w:spacing w:after="0" w:line="211" w:lineRule="exact"/>
        <w:rPr>
          <w:sz w:val="24"/>
          <w:szCs w:val="24"/>
          <w:color w:val="auto"/>
        </w:rPr>
      </w:pPr>
    </w:p>
    <w:p>
      <w:pPr>
        <w:sectPr>
          <w:pgSz w:w="11900" w:h="16838" w:orient="portrait"/>
          <w:cols w:equalWidth="0" w:num="3">
            <w:col w:w="3880" w:space="720"/>
            <w:col w:w="2780" w:space="720"/>
            <w:col w:w="3140"/>
          </w:cols>
          <w:pgMar w:left="320" w:top="516"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500 West Texas Ave.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Suite 100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Midland, Texas 79701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(432) 221-7400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80010</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9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80" w:type="dxa"/>
            <w:vAlign w:val="bottom"/>
          </w:tcPr>
          <w:p>
            <w:pPr>
              <w:spacing w:after="0"/>
              <w:rPr>
                <w:sz w:val="20"/>
                <w:szCs w:val="20"/>
                <w:color w:val="auto"/>
              </w:rPr>
            </w:pPr>
          </w:p>
        </w:tc>
        <w:tc>
          <w:tcPr>
            <w:tcW w:w="4160" w:type="dxa"/>
            <w:vAlign w:val="bottom"/>
          </w:tcPr>
          <w:p>
            <w:pPr>
              <w:spacing w:after="0"/>
              <w:rPr>
                <w:sz w:val="20"/>
                <w:szCs w:val="20"/>
                <w:color w:val="auto"/>
              </w:rPr>
            </w:pPr>
          </w:p>
        </w:tc>
      </w:tr>
      <w:tr>
        <w:trPr>
          <w:trHeight w:val="410"/>
        </w:trPr>
        <w:tc>
          <w:tcPr>
            <w:tcW w:w="4700" w:type="dxa"/>
            <w:vAlign w:val="bottom"/>
          </w:tcPr>
          <w:p>
            <w:pPr>
              <w:spacing w:after="0"/>
              <w:rPr>
                <w:sz w:val="24"/>
                <w:szCs w:val="24"/>
                <w:color w:val="auto"/>
              </w:rPr>
            </w:pPr>
          </w:p>
        </w:tc>
        <w:tc>
          <w:tcPr>
            <w:tcW w:w="238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16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45"/>
        </w:trPr>
        <w:tc>
          <w:tcPr>
            <w:tcW w:w="4700" w:type="dxa"/>
            <w:vAlign w:val="bottom"/>
            <w:tcBorders>
              <w:bottom w:val="single" w:sz="8" w:color="auto"/>
            </w:tcBorders>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380" w:type="dxa"/>
            <w:vAlign w:val="bottom"/>
            <w:tcBorders>
              <w:bottom w:val="single" w:sz="8" w:color="auto"/>
            </w:tcBorders>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4160" w:type="dxa"/>
            <w:vAlign w:val="bottom"/>
            <w:tcBorders>
              <w:bottom w:val="single" w:sz="8" w:color="auto"/>
            </w:tcBorders>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198"/>
        </w:trPr>
        <w:tc>
          <w:tcPr>
            <w:tcW w:w="4700" w:type="dxa"/>
            <w:vAlign w:val="bottom"/>
          </w:tcPr>
          <w:p>
            <w:pPr>
              <w:jc w:val="center"/>
              <w:ind w:right="890"/>
              <w:spacing w:after="0" w:line="198" w:lineRule="exact"/>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380" w:type="dxa"/>
            <w:vAlign w:val="bottom"/>
          </w:tcPr>
          <w:p>
            <w:pPr>
              <w:jc w:val="center"/>
              <w:ind w:right="430"/>
              <w:spacing w:after="0" w:line="198" w:lineRule="exact"/>
              <w:rPr>
                <w:sz w:val="20"/>
                <w:szCs w:val="20"/>
                <w:color w:val="auto"/>
              </w:rPr>
            </w:pPr>
            <w:r>
              <w:rPr>
                <w:rFonts w:ascii="Times New Roman" w:cs="Times New Roman" w:eastAsia="Times New Roman" w:hAnsi="Times New Roman"/>
                <w:sz w:val="18"/>
                <w:szCs w:val="18"/>
                <w:color w:val="auto"/>
                <w:w w:val="93"/>
              </w:rPr>
              <w:t>FANG</w:t>
            </w:r>
          </w:p>
        </w:tc>
        <w:tc>
          <w:tcPr>
            <w:tcW w:w="4160" w:type="dxa"/>
            <w:vAlign w:val="bottom"/>
          </w:tcPr>
          <w:p>
            <w:pPr>
              <w:jc w:val="center"/>
              <w:ind w:left="370"/>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7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16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98"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62"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9" w:lineRule="exact"/>
        <w:rPr>
          <w:rFonts w:ascii="MS PGothic" w:cs="MS PGothic" w:eastAsia="MS PGothic" w:hAnsi="MS PGothic"/>
          <w:sz w:val="18"/>
          <w:szCs w:val="18"/>
          <w:color w:val="auto"/>
        </w:rPr>
      </w:pPr>
    </w:p>
    <w:p>
      <w:pPr>
        <w:ind w:left="340" w:right="180" w:hanging="332"/>
        <w:spacing w:after="0" w:line="258" w:lineRule="auto"/>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Introductory Note</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On September 10, 2024, Diamondback Energy,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Diamondback</w:t>
      </w:r>
      <w:r>
        <w:rPr>
          <w:rFonts w:ascii="Times New Roman" w:cs="Times New Roman" w:eastAsia="Times New Roman" w:hAnsi="Times New Roman"/>
          <w:sz w:val="18"/>
          <w:szCs w:val="18"/>
          <w:color w:val="auto"/>
        </w:rPr>
        <w:t>”), filed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 Current Report on Form 8-K (the “</w:t>
      </w:r>
      <w:r>
        <w:rPr>
          <w:rFonts w:ascii="Times New Roman" w:cs="Times New Roman" w:eastAsia="Times New Roman" w:hAnsi="Times New Roman"/>
          <w:sz w:val="18"/>
          <w:szCs w:val="18"/>
          <w:u w:val="single" w:color="auto"/>
          <w:color w:val="auto"/>
        </w:rPr>
        <w:t>Original Form 8-K</w:t>
      </w:r>
      <w:r>
        <w:rPr>
          <w:rFonts w:ascii="Times New Roman" w:cs="Times New Roman" w:eastAsia="Times New Roman" w:hAnsi="Times New Roman"/>
          <w:sz w:val="18"/>
          <w:szCs w:val="18"/>
          <w:color w:val="auto"/>
        </w:rPr>
        <w:t>”) reporting, among other events, the completion of the Company’s acquisition of Endeavor Parent, LLC, a Texas limited liability company (“</w:t>
      </w:r>
      <w:r>
        <w:rPr>
          <w:rFonts w:ascii="Times New Roman" w:cs="Times New Roman" w:eastAsia="Times New Roman" w:hAnsi="Times New Roman"/>
          <w:sz w:val="18"/>
          <w:szCs w:val="18"/>
          <w:u w:val="single" w:color="auto"/>
          <w:color w:val="auto"/>
        </w:rPr>
        <w:t>Endeavor</w:t>
      </w:r>
      <w:r>
        <w:rPr>
          <w:rFonts w:ascii="Times New Roman" w:cs="Times New Roman" w:eastAsia="Times New Roman" w:hAnsi="Times New Roman"/>
          <w:sz w:val="18"/>
          <w:szCs w:val="18"/>
          <w:color w:val="auto"/>
        </w:rPr>
        <w:t>” and such acquisition, the “</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upon the terms and subject to the conditions set forth in that certain Agreement and Plan of Merger (as amended,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by and among the Company, Eclipse Merger Sub I, LLC, a Delaware limited liability company and a wholly owned subsidiary of the Company, Eclipse Merger Sub II, LLC, a Delaware limited liability company and a wholly owned subsidiary of the Company, Endeavor Manager, LLC, a Texas limited liability company (solely for purposes of certain sections set forth therein), and Endeavor.</w:t>
      </w:r>
    </w:p>
    <w:p>
      <w:pPr>
        <w:spacing w:after="0" w:line="189"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This Current Report on Form 8-K/A amends the Original Form 8-K to include (i) the financial statements of Endeavor required by Item 9.01(a) and (ii) the pro forma financial information of the Company required by Item 9.01(b). The Company had previously indicated in the Original Form 8-K that such financial statements and pro forma information would be provided no later than 71 days from the date on which the Original Form 8-K was required to be filed.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statements of businesses or funds acquired.</w:t>
      </w:r>
    </w:p>
    <w:p>
      <w:pPr>
        <w:spacing w:after="0" w:line="22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 xml:space="preserve">The audited consolidated financial statements of Endeavor as of December 31, 2023 and 2022 and for each of the fiscal years ended December 31, 2023, 2022 and 2021 are incorporated by reference to </w:t>
      </w:r>
      <w:r>
        <w:rPr>
          <w:rFonts w:ascii="Times New Roman" w:cs="Times New Roman" w:eastAsia="Times New Roman" w:hAnsi="Times New Roman"/>
          <w:sz w:val="18"/>
          <w:szCs w:val="18"/>
          <w:u w:val="single" w:color="auto"/>
          <w:color w:val="0000EE"/>
        </w:rPr>
        <w:t>Exhibit 99.1 to the Company’s Current Report on Form 8-K, filed with the SEC on April 8, 2024.</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unaudited consolidated financial statements of Endeavor as of June 30, 2024 and for the six month period ended June 30, 2024 and 2023 are attached as Exhibit 99.1 to this Current Report on Form 8-K and incorporated by reference herein.</w:t>
      </w:r>
    </w:p>
    <w:p>
      <w:pPr>
        <w:spacing w:after="0" w:line="160" w:lineRule="exact"/>
        <w:rPr>
          <w:sz w:val="20"/>
          <w:szCs w:val="20"/>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 forma financial information.</w:t>
      </w:r>
    </w:p>
    <w:p>
      <w:pPr>
        <w:spacing w:after="0" w:line="227"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balance sheet of the Company as of June 30, 2024 and the unaudited pro forma condensed combined statements of operations for the six months ended June 30, 2024 and the year ended December 31, 2023, giving effect to the Acquisition, are filed as Exhibit 99.2 to this Current Report on Form 8-K and are incorporated by reference herein.</w:t>
      </w:r>
    </w:p>
    <w:p>
      <w:pPr>
        <w:spacing w:after="0" w:line="174"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2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0"/>
          <w:szCs w:val="20"/>
          <w:color w:val="auto"/>
        </w:rPr>
      </w:pPr>
    </w:p>
    <w:p>
      <w:pPr>
        <w:ind w:left="300"/>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color w:val="auto"/>
        </w:rPr>
        <w:t>Unaudited consolidated financial statements of Endeavor</w:t>
      </w:r>
    </w:p>
    <w:p>
      <w:pPr>
        <w:spacing w:after="0" w:line="225" w:lineRule="exact"/>
        <w:rPr>
          <w:sz w:val="20"/>
          <w:szCs w:val="20"/>
          <w:color w:val="auto"/>
        </w:rPr>
      </w:pPr>
    </w:p>
    <w:p>
      <w:pPr>
        <w:ind w:left="300"/>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99.2</w:t>
      </w:r>
      <w:r>
        <w:rPr>
          <w:sz w:val="20"/>
          <w:szCs w:val="20"/>
          <w:color w:val="auto"/>
        </w:rPr>
        <w:tab/>
      </w:r>
      <w:r>
        <w:rPr>
          <w:rFonts w:ascii="Times New Roman" w:cs="Times New Roman" w:eastAsia="Times New Roman" w:hAnsi="Times New Roman"/>
          <w:sz w:val="18"/>
          <w:szCs w:val="18"/>
          <w:color w:val="auto"/>
        </w:rPr>
        <w:t>Unaudited pro forma condensed combined financial statements of the Company</w:t>
      </w:r>
    </w:p>
    <w:p>
      <w:pPr>
        <w:spacing w:after="0" w:line="225" w:lineRule="exact"/>
        <w:rPr>
          <w:sz w:val="20"/>
          <w:szCs w:val="20"/>
          <w:color w:val="auto"/>
        </w:rPr>
      </w:pPr>
    </w:p>
    <w:p>
      <w:pPr>
        <w:ind w:left="320"/>
        <w:spacing w:after="0"/>
        <w:tabs>
          <w:tab w:leader="none" w:pos="11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p>
        </w:tc>
        <w:tc>
          <w:tcPr>
            <w:tcW w:w="7460" w:type="dxa"/>
            <w:vAlign w:val="bottom"/>
            <w:gridSpan w:val="2"/>
          </w:tcPr>
          <w:p>
            <w:pPr>
              <w:ind w:left="1860"/>
              <w:spacing w:after="0"/>
              <w:rPr>
                <w:sz w:val="20"/>
                <w:szCs w:val="20"/>
                <w:color w:val="auto"/>
              </w:rPr>
            </w:pPr>
            <w:r>
              <w:rPr>
                <w:rFonts w:ascii="Times New Roman" w:cs="Times New Roman" w:eastAsia="Times New Roman" w:hAnsi="Times New Roman"/>
                <w:sz w:val="18"/>
                <w:szCs w:val="18"/>
                <w:b w:val="1"/>
                <w:bCs w:val="1"/>
                <w:color w:val="auto"/>
              </w:rPr>
              <w:t>DIAMONDBACK ENERGY, INC.</w:t>
            </w:r>
          </w:p>
        </w:tc>
      </w:tr>
      <w:tr>
        <w:trPr>
          <w:trHeight w:val="439"/>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19, 2024</w:t>
            </w:r>
          </w:p>
        </w:tc>
        <w:tc>
          <w:tcPr>
            <w:tcW w:w="242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Kaes Van’t Hof</w:t>
            </w:r>
          </w:p>
        </w:tc>
      </w:tr>
      <w:tr>
        <w:trPr>
          <w:trHeight w:val="198"/>
        </w:trPr>
        <w:tc>
          <w:tcPr>
            <w:tcW w:w="3780" w:type="dxa"/>
            <w:vAlign w:val="bottom"/>
          </w:tcPr>
          <w:p>
            <w:pPr>
              <w:spacing w:after="0"/>
              <w:rPr>
                <w:sz w:val="17"/>
                <w:szCs w:val="17"/>
                <w:color w:val="auto"/>
              </w:rPr>
            </w:pPr>
          </w:p>
        </w:tc>
        <w:tc>
          <w:tcPr>
            <w:tcW w:w="2420" w:type="dxa"/>
            <w:vAlign w:val="bottom"/>
          </w:tcPr>
          <w:p>
            <w:pPr>
              <w:ind w:left="18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Kaes Van’t Hof</w:t>
            </w:r>
          </w:p>
        </w:tc>
      </w:tr>
      <w:tr>
        <w:trPr>
          <w:trHeight w:val="234"/>
        </w:trPr>
        <w:tc>
          <w:tcPr>
            <w:tcW w:w="3780" w:type="dxa"/>
            <w:vAlign w:val="bottom"/>
          </w:tcPr>
          <w:p>
            <w:pPr>
              <w:spacing w:after="0"/>
              <w:rPr>
                <w:sz w:val="20"/>
                <w:szCs w:val="20"/>
                <w:color w:val="auto"/>
              </w:rPr>
            </w:pPr>
          </w:p>
        </w:tc>
        <w:tc>
          <w:tcPr>
            <w:tcW w:w="242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Financial Officer</w:t>
            </w:r>
          </w:p>
        </w:tc>
      </w:tr>
      <w:tr>
        <w:trPr>
          <w:trHeight w:val="533"/>
        </w:trPr>
        <w:tc>
          <w:tcPr>
            <w:tcW w:w="37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2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Endeavor Parent, LLC</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Interim Report</w:t>
      </w:r>
    </w:p>
    <w:p>
      <w:pPr>
        <w:spacing w:after="0" w:line="225"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Six Months Ended June 30,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268605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266"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ENDEAVOR PARENT,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INTERIM REPORT FOR THE SIX MONTHS ENDED 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40" w:type="dxa"/>
            <w:vAlign w:val="bottom"/>
          </w:tcPr>
          <w:p>
            <w:pPr>
              <w:spacing w:after="0"/>
              <w:rPr>
                <w:sz w:val="20"/>
                <w:szCs w:val="20"/>
                <w:color w:val="auto"/>
              </w:rPr>
            </w:pPr>
          </w:p>
        </w:tc>
        <w:tc>
          <w:tcPr>
            <w:tcW w:w="2020" w:type="dxa"/>
            <w:vAlign w:val="bottom"/>
            <w:gridSpan w:val="2"/>
          </w:tcPr>
          <w:p>
            <w:pPr>
              <w:ind w:left="154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(loss)</w:t>
            </w: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Members’ Equity and Accumulated Other Comprehensive Income (loss)</w:t>
            </w: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Note A – Organization and Summary of Significant Accounting Policies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Note B – Concentration of Credit Risk</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Note C – Related Party Transactions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Note D – Oil and Natural Gas Properties, Other Property and Equipment and Lease Information</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Note E – Debt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Note F – Significant Customers</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Note G – Asset Retirement Obligations (ARO)</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Note H – Derivative Contracts</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Note I – Commitments and Contingencies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Note J – Fair Value</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Note K – Employee Benefit Plans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Note L – Employee Incentive Plans</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Note M – Income Taxes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Note N – Members’ Equity</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Note O – Subsequent Events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0"/>
        </w:trPr>
        <w:tc>
          <w:tcPr>
            <w:tcW w:w="92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b w:val="1"/>
                <w:bCs w:val="1"/>
                <w:color w:val="auto"/>
                <w:w w:val="99"/>
              </w:rPr>
              <w:t>ITEM 1. FINANCIAL STATEMENTS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b w:val="1"/>
                <w:bCs w:val="1"/>
                <w:color w:val="auto"/>
                <w:w w:val="97"/>
              </w:rPr>
              <w:t>ENDEAVOR PARENT, LLC</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b w:val="1"/>
                <w:bCs w:val="1"/>
                <w:color w:val="auto"/>
                <w:w w:val="99"/>
              </w:rPr>
              <w:t>(dollars in millions)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60" w:type="dxa"/>
            <w:vAlign w:val="bottom"/>
          </w:tcPr>
          <w:p>
            <w:pPr>
              <w:spacing w:after="0"/>
              <w:rPr>
                <w:sz w:val="20"/>
                <w:szCs w:val="20"/>
                <w:color w:val="auto"/>
              </w:rPr>
            </w:pPr>
          </w:p>
        </w:tc>
        <w:tc>
          <w:tcPr>
            <w:tcW w:w="1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194"/>
        </w:trPr>
        <w:tc>
          <w:tcPr>
            <w:tcW w:w="8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8680" w:type="dxa"/>
            <w:vAlign w:val="bottom"/>
          </w:tcPr>
          <w:p>
            <w:pPr>
              <w:ind w:left="39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Receivables: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oil and natural gas revenues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727</w:t>
            </w:r>
          </w:p>
        </w:tc>
        <w:tc>
          <w:tcPr>
            <w:tcW w:w="0" w:type="dxa"/>
            <w:vAlign w:val="bottom"/>
          </w:tcPr>
          <w:p>
            <w:pPr>
              <w:spacing w:after="0"/>
              <w:rPr>
                <w:sz w:val="1"/>
                <w:szCs w:val="1"/>
                <w:color w:val="auto"/>
              </w:rPr>
            </w:pPr>
          </w:p>
        </w:tc>
      </w:tr>
      <w:tr>
        <w:trPr>
          <w:trHeight w:val="198"/>
        </w:trPr>
        <w:tc>
          <w:tcPr>
            <w:tcW w:w="868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Joint interest billings, net of allowance for credit loss accounts of</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$12 million and $12 million, respectively</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Related parties (Note C), net of allowance for credit loss accounts of $1 million and $1 million, respectively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3"/>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receivable - other</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receivables, net</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contracts - short-term (Note H)</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Oil and natural gas property and equipment, full cost method, net ($254 million and $176 million excluded from</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respectively) (Note D)</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9,687</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8,917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property and equipment, net (Note D)</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Related parties (Note C)</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instruments - long-term (Note H)</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8680" w:type="dxa"/>
            <w:vAlign w:val="bottom"/>
          </w:tcPr>
          <w:p>
            <w:pPr>
              <w:ind w:left="2620"/>
              <w:spacing w:after="0"/>
              <w:rPr>
                <w:sz w:val="20"/>
                <w:szCs w:val="20"/>
                <w:color w:val="auto"/>
              </w:rPr>
            </w:pPr>
            <w:r>
              <w:rPr>
                <w:rFonts w:ascii="Times New Roman" w:cs="Times New Roman" w:eastAsia="Times New Roman" w:hAnsi="Times New Roman"/>
                <w:sz w:val="18"/>
                <w:szCs w:val="18"/>
                <w:b w:val="1"/>
                <w:bCs w:val="1"/>
                <w:color w:val="auto"/>
              </w:rPr>
              <w:t>LIABILITIES AND MEMBERS' EQUITY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Oil and gas revenue</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Distributions payable</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 payable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contracts (Note H)</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 retirement obligations (Note G)</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(Note 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913</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TAXES (Note M)</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CONTRACTS (Note H)</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ASSET RETIREMENT OBLIGATIONS (Note G)</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I)</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MEMBERS' EQUITY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Members' equity (Note N)</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8,494</w:t>
            </w:r>
          </w:p>
        </w:tc>
        <w:tc>
          <w:tcPr>
            <w:tcW w:w="0" w:type="dxa"/>
            <w:vAlign w:val="bottom"/>
          </w:tcPr>
          <w:p>
            <w:pPr>
              <w:spacing w:after="0"/>
              <w:rPr>
                <w:sz w:val="1"/>
                <w:szCs w:val="1"/>
                <w:color w:val="auto"/>
              </w:rPr>
            </w:pP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 income (Note H)</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members' equity</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7,474</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Members' Equity</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12,194</w:t>
            </w:r>
          </w:p>
        </w:tc>
        <w:tc>
          <w:tcPr>
            <w:tcW w:w="2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11,200</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ENDEAVOR PARENT,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4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86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Oil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2,529</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Natural gas and NGL sales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334</w:t>
            </w: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 company revenue</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operating revenues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2,877</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operating expense</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Production taxes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 company operating expenses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Depletion, depreciation, amortization and accretion</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513</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r>
      <w:tr>
        <w:trPr>
          <w:trHeight w:val="223"/>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8680" w:type="dxa"/>
            <w:vAlign w:val="bottom"/>
            <w:tcBorders>
              <w:top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00" w:type="dxa"/>
            <w:vAlign w:val="bottom"/>
            <w:tcBorders>
              <w:top w:val="single" w:sz="8" w:color="CCEEFF"/>
            </w:tcBorders>
          </w:tcPr>
          <w:p>
            <w:pPr>
              <w:spacing w:after="0"/>
              <w:rPr>
                <w:sz w:val="19"/>
                <w:szCs w:val="19"/>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from operations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(loss) from derivative instruments, net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 costs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8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before taxes</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r>
      <w:tr>
        <w:trPr>
          <w:trHeight w:val="256"/>
        </w:trPr>
        <w:tc>
          <w:tcPr>
            <w:tcW w:w="8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Commodity cash flow hedging derivative instruments (Note H):</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cash flow hedges, net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comprehensive net income</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1,803</w:t>
            </w:r>
          </w:p>
        </w:tc>
      </w:tr>
      <w:tr>
        <w:trPr>
          <w:trHeight w:val="20"/>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ENDEAVOR PARENT, LLC</w:t>
      </w:r>
    </w:p>
    <w:p>
      <w:pPr>
        <w:spacing w:after="0" w:line="3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CONSOLIDATED STATEMENTS OF MEMBERS’ EQUITY AND</w:t>
      </w:r>
    </w:p>
    <w:p>
      <w:pPr>
        <w:spacing w:after="0" w:line="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Accumulated Other</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6780" w:type="dxa"/>
            <w:vAlign w:val="bottom"/>
          </w:tcPr>
          <w:p>
            <w:pPr>
              <w:spacing w:after="0"/>
              <w:rPr>
                <w:sz w:val="21"/>
                <w:szCs w:val="21"/>
                <w:color w:val="auto"/>
              </w:rPr>
            </w:pPr>
          </w:p>
        </w:tc>
        <w:tc>
          <w:tcPr>
            <w:tcW w:w="1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Members' Equity</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(loss)</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2022</w:t>
            </w: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7,031</w:t>
            </w: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929</w:t>
            </w: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w:t>
            </w: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(156)</w:t>
            </w:r>
          </w:p>
        </w:tc>
      </w:tr>
      <w:tr>
        <w:trPr>
          <w:trHeight w:val="223"/>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Cash flow hedges</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31, 2023</w:t>
            </w:r>
          </w:p>
        </w:tc>
        <w:tc>
          <w:tcPr>
            <w:tcW w:w="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7,807</w:t>
            </w: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870</w:t>
            </w: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w:t>
            </w: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w:t>
            </w:r>
          </w:p>
        </w:tc>
      </w:tr>
      <w:tr>
        <w:trPr>
          <w:trHeight w:val="223"/>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Cash flow hedges</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57"/>
        </w:trPr>
        <w:tc>
          <w:tcPr>
            <w:tcW w:w="6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June 30, 2023</w:t>
            </w: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8,566</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03"/>
        </w:trPr>
        <w:tc>
          <w:tcPr>
            <w:tcW w:w="6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Accumulated Other</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6780" w:type="dxa"/>
            <w:vAlign w:val="bottom"/>
          </w:tcPr>
          <w:p>
            <w:pPr>
              <w:spacing w:after="0"/>
              <w:rPr>
                <w:sz w:val="21"/>
                <w:szCs w:val="21"/>
                <w:color w:val="auto"/>
              </w:rPr>
            </w:pPr>
          </w:p>
        </w:tc>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Members' Equity</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(loss)</w:t>
            </w:r>
          </w:p>
        </w:tc>
        <w:tc>
          <w:tcPr>
            <w:tcW w:w="220" w:type="dxa"/>
            <w:vAlign w:val="bottom"/>
          </w:tcPr>
          <w:p>
            <w:pPr>
              <w:spacing w:after="0"/>
              <w:rPr>
                <w:sz w:val="21"/>
                <w:szCs w:val="21"/>
                <w:color w:val="auto"/>
              </w:rPr>
            </w:pP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2023</w:t>
            </w:r>
          </w:p>
        </w:tc>
        <w:tc>
          <w:tcPr>
            <w:tcW w:w="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8,507</w:t>
            </w: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5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(912)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(912)</w:t>
            </w: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w:t>
            </w: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(350)</w:t>
            </w:r>
          </w:p>
        </w:tc>
      </w:tr>
      <w:tr>
        <w:trPr>
          <w:trHeight w:val="223"/>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Cash flow hedges</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31, 2024</w:t>
            </w:r>
          </w:p>
        </w:tc>
        <w:tc>
          <w:tcPr>
            <w:tcW w:w="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7,249</w:t>
            </w: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793</w:t>
            </w: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w:t>
            </w: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(571)</w:t>
            </w:r>
          </w:p>
        </w:tc>
      </w:tr>
      <w:tr>
        <w:trPr>
          <w:trHeight w:val="223"/>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Cash flow hedges, net</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56"/>
        </w:trPr>
        <w:tc>
          <w:tcPr>
            <w:tcW w:w="6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June 30, 2024</w:t>
            </w: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7,454</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ENDEAVOR PARENT,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(dollars in millions)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4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86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1,799</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income to net cash provided by operating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Depletion, depreciation, amortization and accretion</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513</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deferred debt costs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taxes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(gain) loss on derivative instruments</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(payment) receipts from settled derivatives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Asset retirement expenditures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receivables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payables and accrued liabilities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(Decrease) increase in taxes payable</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86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(Decrease) increase in long-term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2,296</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Oil and gas properties additions</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(1,277)</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(1,553)</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acquisitions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sales of assets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property and equipment additions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w:t>
            </w: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Contribution to equity method investments</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Senior Notes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w:t>
            </w: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distributions to members</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(690)</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(265)</w:t>
            </w:r>
          </w:p>
        </w:tc>
      </w:tr>
      <w:tr>
        <w:trPr>
          <w:trHeight w:val="223"/>
        </w:trPr>
        <w:tc>
          <w:tcPr>
            <w:tcW w:w="86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313</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1,898</w:t>
            </w:r>
          </w:p>
        </w:tc>
      </w:tr>
      <w:tr>
        <w:trPr>
          <w:trHeight w:val="20"/>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during the period for interest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during the period for taxes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disclosures of noncash investing and financing activities:</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 to oil and gas properties resulting from recognition of future abandonment costs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Decrease in accrued capital expenditures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distributions payable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settlement of receivables for property and equipment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ENDEAVOR PARENT,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A – ORGANIZATION AND SUMMARY OF SIGNIFICANT ACCOUNTING POLICIES</w:t>
      </w:r>
    </w:p>
    <w:p>
      <w:pPr>
        <w:spacing w:after="0" w:line="225" w:lineRule="exact"/>
        <w:rPr>
          <w:sz w:val="20"/>
          <w:szCs w:val="20"/>
          <w:color w:val="auto"/>
        </w:rPr>
      </w:pPr>
    </w:p>
    <w:p>
      <w:pPr>
        <w:ind w:left="400" w:hanging="392"/>
        <w:spacing w:after="0"/>
        <w:tabs>
          <w:tab w:leader="none" w:pos="4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NATURE OF OPERATIONS</w:t>
      </w:r>
    </w:p>
    <w:p>
      <w:pPr>
        <w:spacing w:after="0" w:line="229" w:lineRule="exact"/>
        <w:rPr>
          <w:rFonts w:ascii="Times New Roman" w:cs="Times New Roman" w:eastAsia="Times New Roman" w:hAnsi="Times New Roman"/>
          <w:sz w:val="18"/>
          <w:szCs w:val="18"/>
          <w:b w:val="1"/>
          <w:bCs w:val="1"/>
          <w:color w:val="auto"/>
        </w:rPr>
      </w:pPr>
    </w:p>
    <w:p>
      <w:pPr>
        <w:jc w:val="both"/>
        <w:ind w:left="4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purposes of the accompanying consolidated financial statements, for periods (i) prior to November 13, 2023, references to “Endeavor,” the “Partnership” or the “Company” refer to Endeavor Energy Resources, L.P., and, as applicable, its consolidated subsidiaries, and (ii) on and after November 13, 2023, references to “Endeavor,” “Endeavor Parent” or the “Company” refer to Endeavor Parent, LLC and, as applicable, its consolidated subsidiaries. Furthermore, for periods (i) prior to November 13, 2023, these financial statements reflect the balances and accounts of Endeavor Energy Resources, L.P. and, as applicable, its consolidated subsidiaries, and (ii) on and after November 13, 2023, these financial statements reflect the balances and accounts of Endeavor Parent, LLC and, as applicable, its consolidated subsidiaries.</w:t>
      </w:r>
    </w:p>
    <w:p>
      <w:pPr>
        <w:spacing w:after="0" w:line="187" w:lineRule="exact"/>
        <w:rPr>
          <w:rFonts w:ascii="Times New Roman" w:cs="Times New Roman" w:eastAsia="Times New Roman" w:hAnsi="Times New Roman"/>
          <w:sz w:val="18"/>
          <w:szCs w:val="18"/>
          <w:b w:val="1"/>
          <w:bCs w:val="1"/>
          <w:color w:val="auto"/>
        </w:rPr>
      </w:pPr>
    </w:p>
    <w:p>
      <w:pPr>
        <w:jc w:val="both"/>
        <w:ind w:left="4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Founded in 2000 as the successor to the sole proprietorship of Autry C. Stephens, the Company is an independent oil and natural gas producer with oilfield service operations, pipeline subsidiaries and a finance subsidiary based in Midland, Texas. The Company’s focus is on the acquisition, exploration, development and exploitation of long-lived oil, natural gas and NGL reserves. The Company’s business activities are currently carried out primarily in the Permian Basin of West Texas.</w:t>
      </w:r>
    </w:p>
    <w:p>
      <w:pPr>
        <w:spacing w:after="0" w:line="179" w:lineRule="exact"/>
        <w:rPr>
          <w:rFonts w:ascii="Times New Roman" w:cs="Times New Roman" w:eastAsia="Times New Roman" w:hAnsi="Times New Roman"/>
          <w:sz w:val="18"/>
          <w:szCs w:val="18"/>
          <w:b w:val="1"/>
          <w:bCs w:val="1"/>
          <w:color w:val="auto"/>
        </w:rPr>
      </w:pPr>
    </w:p>
    <w:p>
      <w:pPr>
        <w:jc w:val="both"/>
        <w:ind w:left="420"/>
        <w:spacing w:after="0" w:line="27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 xml:space="preserve">On November 13, 2023, the Company underwent a reorganization, wherein Autry C. Stephens contributed all the issued and outstanding membership interests in Endeavor GP to Endeavor Manager. Immediately thereafter, in a transaction intended to be treated as a reorganization described in Section 368(a)(1)(F) of the Internal Revenue Code of 1986, as amended, (i) Endeavor Manager contributed its entire membership interest in Endeavor GP, and all limited partners in the Partnership contributed their entire limited partnership interests in the Partnership, to Endeavor Parent, in exchange for membership interests in Endeavor Parent, and (ii) on the same date, Endeavor Parent filed an election to treat the Partnership as a qualified subchapter S subsidiary of Endeavor Parent effective as of the same date. This reorganization did not alter the ownership of the Partnership’s properties or assets or impact the nature or scope of the Partnership’s operations. As part of this reorganization, the Board of Managers of Endeavor GP was dissolved, and a Board of Managers of Endeavor Manager was put in place. The members of the Board of Managers of Endeavor Manager are the same individuals that served on the Board of Managers of Endeavor GP, immediately prior to the date of the reorganization. Following the reorganization, the Partnership continues to operate its properties and assets. See </w:t>
      </w:r>
      <w:r>
        <w:rPr>
          <w:rFonts w:ascii="Times New Roman" w:cs="Times New Roman" w:eastAsia="Times New Roman" w:hAnsi="Times New Roman"/>
          <w:sz w:val="17"/>
          <w:szCs w:val="17"/>
          <w:b w:val="1"/>
          <w:bCs w:val="1"/>
          <w:color w:val="auto"/>
        </w:rPr>
        <w:t>Item 1. Our Business</w:t>
      </w:r>
      <w:r>
        <w:rPr>
          <w:rFonts w:ascii="Times New Roman" w:cs="Times New Roman" w:eastAsia="Times New Roman" w:hAnsi="Times New Roman"/>
          <w:sz w:val="17"/>
          <w:szCs w:val="17"/>
          <w:color w:val="auto"/>
        </w:rPr>
        <w:t xml:space="preserve"> for a summary of the Company's organizational structure.</w:t>
      </w:r>
    </w:p>
    <w:p>
      <w:pPr>
        <w:spacing w:after="0" w:line="176" w:lineRule="exact"/>
        <w:rPr>
          <w:rFonts w:ascii="Times New Roman" w:cs="Times New Roman" w:eastAsia="Times New Roman" w:hAnsi="Times New Roman"/>
          <w:sz w:val="18"/>
          <w:szCs w:val="18"/>
          <w:b w:val="1"/>
          <w:bCs w:val="1"/>
          <w:color w:val="auto"/>
        </w:rPr>
      </w:pPr>
    </w:p>
    <w:p>
      <w:pPr>
        <w:jc w:val="both"/>
        <w:ind w:left="4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Endeavor Parent was formed in connection with the reorganization described above. Endeavor Parent is managed by its sole manager, Endeavor Manager. Endeavor Manager is managed by the Board of Managers and is owned and controlled by the Autry Stephens Management Trust, the sole trustee of which is Autry C. Stephens.</w:t>
      </w:r>
    </w:p>
    <w:p>
      <w:pPr>
        <w:spacing w:after="0" w:line="175" w:lineRule="exact"/>
        <w:rPr>
          <w:rFonts w:ascii="Times New Roman" w:cs="Times New Roman" w:eastAsia="Times New Roman" w:hAnsi="Times New Roman"/>
          <w:sz w:val="18"/>
          <w:szCs w:val="18"/>
          <w:b w:val="1"/>
          <w:bCs w:val="1"/>
          <w:color w:val="auto"/>
        </w:rPr>
      </w:pPr>
    </w:p>
    <w:p>
      <w:pPr>
        <w:ind w:left="4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Effective January 1, 2024, the Company's tax status for U.S. federal income tax purposes was converted from an S-Corporation to a C-Corporation through a revocation of the Company's U.S. federal income tax status as an S-Corporation.</w:t>
      </w:r>
    </w:p>
    <w:p>
      <w:pPr>
        <w:spacing w:after="0" w:line="161" w:lineRule="exact"/>
        <w:rPr>
          <w:rFonts w:ascii="Times New Roman" w:cs="Times New Roman" w:eastAsia="Times New Roman" w:hAnsi="Times New Roman"/>
          <w:sz w:val="18"/>
          <w:szCs w:val="18"/>
          <w:b w:val="1"/>
          <w:bCs w:val="1"/>
          <w:color w:val="auto"/>
        </w:rPr>
      </w:pPr>
    </w:p>
    <w:p>
      <w:pPr>
        <w:ind w:left="42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oilfield service divisions of the Company are comprised of various Energy Services divisions, Bryant Ranch, Electrical Maintenance and Construction, ACS Pump &amp; Supply and a wholly owned subsidiary, Environmental Disposal Systems, LLC.</w:t>
      </w:r>
    </w:p>
    <w:p>
      <w:pPr>
        <w:spacing w:after="0" w:line="161" w:lineRule="exact"/>
        <w:rPr>
          <w:rFonts w:ascii="Times New Roman" w:cs="Times New Roman" w:eastAsia="Times New Roman" w:hAnsi="Times New Roman"/>
          <w:sz w:val="18"/>
          <w:szCs w:val="18"/>
          <w:b w:val="1"/>
          <w:bCs w:val="1"/>
          <w:color w:val="auto"/>
        </w:rPr>
      </w:pPr>
    </w:p>
    <w:p>
      <w:pPr>
        <w:jc w:val="both"/>
        <w:ind w:left="4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pipeline subsidiaries of the Company are comprised of Natural Gas Gatherers, Ltd., its wholly owned subsidiary, NGG Gathering Company, LLC, Barnett Gathering Company, LLC, Barnett Field Services, LLC and LCX Pipeline Company, LLC. The pipeline subsidiaries were formed or acquired to operate natural gas gathering systems.</w:t>
      </w:r>
    </w:p>
    <w:p>
      <w:pPr>
        <w:spacing w:after="0" w:line="175" w:lineRule="exact"/>
        <w:rPr>
          <w:rFonts w:ascii="Times New Roman" w:cs="Times New Roman" w:eastAsia="Times New Roman" w:hAnsi="Times New Roman"/>
          <w:sz w:val="18"/>
          <w:szCs w:val="18"/>
          <w:b w:val="1"/>
          <w:bCs w:val="1"/>
          <w:color w:val="auto"/>
        </w:rPr>
      </w:pPr>
    </w:p>
    <w:p>
      <w:pPr>
        <w:ind w:left="4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DG Royalty, LLC, Wyatt Energy Partners, 1979 Royalties, LP and DRE Energy, LLC (the “Royalty Subsidiaries”) were formed to hold mineral interests, royalty interests, overriding royalty interests, and non-working interests in oil and natural gas properties.</w:t>
      </w:r>
    </w:p>
    <w:p>
      <w:pPr>
        <w:spacing w:after="0" w:line="161" w:lineRule="exact"/>
        <w:rPr>
          <w:rFonts w:ascii="Times New Roman" w:cs="Times New Roman" w:eastAsia="Times New Roman" w:hAnsi="Times New Roman"/>
          <w:sz w:val="18"/>
          <w:szCs w:val="18"/>
          <w:b w:val="1"/>
          <w:bCs w:val="1"/>
          <w:color w:val="auto"/>
        </w:rPr>
      </w:pPr>
    </w:p>
    <w:p>
      <w:pPr>
        <w:jc w:val="both"/>
        <w:ind w:left="4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EER Finance, Inc., a Delaware corporation (“EER Finance”) is a wholly owned subsidiary of the Company and was organized to serve as a co-issuer of the Senior Notes (see </w:t>
      </w:r>
      <w:r>
        <w:rPr>
          <w:rFonts w:ascii="Times New Roman" w:cs="Times New Roman" w:eastAsia="Times New Roman" w:hAnsi="Times New Roman"/>
          <w:sz w:val="18"/>
          <w:szCs w:val="18"/>
          <w:b w:val="1"/>
          <w:bCs w:val="1"/>
          <w:color w:val="auto"/>
        </w:rPr>
        <w:t>Note E - Debt</w:t>
      </w:r>
      <w:r>
        <w:rPr>
          <w:rFonts w:ascii="Times New Roman" w:cs="Times New Roman" w:eastAsia="Times New Roman" w:hAnsi="Times New Roman"/>
          <w:sz w:val="18"/>
          <w:szCs w:val="18"/>
          <w:color w:val="auto"/>
        </w:rPr>
        <w:t>). EER Finance does not have any operations, assets or liabilities other than with respect to the Senior Notes and other debt securities that may be issued in the future.</w:t>
      </w:r>
    </w:p>
    <w:p>
      <w:pPr>
        <w:spacing w:after="0" w:line="175" w:lineRule="exact"/>
        <w:rPr>
          <w:rFonts w:ascii="Times New Roman" w:cs="Times New Roman" w:eastAsia="Times New Roman" w:hAnsi="Times New Roman"/>
          <w:sz w:val="18"/>
          <w:szCs w:val="18"/>
          <w:b w:val="1"/>
          <w:bCs w:val="1"/>
          <w:color w:val="auto"/>
        </w:rPr>
      </w:pPr>
    </w:p>
    <w:p>
      <w:pPr>
        <w:jc w:val="both"/>
        <w:ind w:left="4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Sprouts Energy, LLC is a subsidiary of the Company and was formed in June 2022 for the purpose of jointly owning and operating a daycare facility with Diamondback E&amp;P LLC. The Company and Diamondback E&amp;P LLC each own fifty percent (50%) of the issued and outstanding limited liability membership interests of Sprouts Energy, LLC. Employees of the Company and Diamondback E&amp;P LLC are eligible to apply for their children to attend the daycare.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ind w:left="400"/>
        <w:spacing w:after="0"/>
        <w:rPr>
          <w:sz w:val="20"/>
          <w:szCs w:val="20"/>
          <w:color w:val="auto"/>
        </w:rPr>
      </w:pPr>
      <w:r>
        <w:rPr>
          <w:rFonts w:ascii="Times New Roman" w:cs="Times New Roman" w:eastAsia="Times New Roman" w:hAnsi="Times New Roman"/>
          <w:sz w:val="18"/>
          <w:szCs w:val="18"/>
          <w:b w:val="1"/>
          <w:bCs w:val="1"/>
          <w:color w:val="auto"/>
        </w:rPr>
        <w:t>Planned merger of the Company with Diamondback Energy, Inc.</w:t>
      </w:r>
    </w:p>
    <w:p>
      <w:pPr>
        <w:spacing w:after="0" w:line="229" w:lineRule="exact"/>
        <w:rPr>
          <w:sz w:val="20"/>
          <w:szCs w:val="20"/>
          <w:color w:val="auto"/>
        </w:rPr>
      </w:pPr>
    </w:p>
    <w:p>
      <w:pPr>
        <w:jc w:val="both"/>
        <w:ind w:left="420"/>
        <w:spacing w:after="0" w:line="253" w:lineRule="auto"/>
        <w:rPr>
          <w:sz w:val="20"/>
          <w:szCs w:val="20"/>
          <w:color w:val="auto"/>
        </w:rPr>
      </w:pPr>
      <w:r>
        <w:rPr>
          <w:rFonts w:ascii="Times New Roman" w:cs="Times New Roman" w:eastAsia="Times New Roman" w:hAnsi="Times New Roman"/>
          <w:sz w:val="18"/>
          <w:szCs w:val="18"/>
          <w:color w:val="auto"/>
        </w:rPr>
        <w:t>On February 11, 2024, the Company entered into an Agreement and Plan of Merger (the “Merger Agreement”) with Diamondback pursuant to which, among other things, the Company will merge with and into a wholly owned subsidiary of Diamondback (the “Diamondback Merger”). As a result of the Diamondback Merger, Diamondback will acquire 100% of the issued and outstanding equity interests of the Endeavor Parent, being the entity that directly and indirectly owns all the issued and outstanding equity interests of the Partnership. Subject to the terms and conditions of the Merger Agreement, all the Company’s equity interests will be converted into the right to receive, in the aggregate, (i) cash consideration consisting of a base cash amount of $8.0 billion, subject to adjustments and (ii) approximately 117.3 million shares of Diamondback common stock. The transaction was unanimously approved by the board of directors of Diamondback, and the Company has all necessary approvals. The Merger Agreement requires that the Company use commercially reasonable efforts to conduct the Company’s business in the ordinary course and consistent with past practices. Accordingly, the Merger Agreement contains certain interim operating covenants which limit the Company’s ability to take certain material actions without Diamondback’s written consent (which consent shall not be unreasonably withheld, conditioned or delayed), including, without limitation, making capital expenditures in excess of 115% of the Company’s approved capital budget, selling a material portion of the Company’s assets, amending or changing the organizational documents of the Company, or entering into certain material contracts.</w:t>
      </w:r>
    </w:p>
    <w:p>
      <w:pPr>
        <w:spacing w:after="0" w:line="186" w:lineRule="exact"/>
        <w:rPr>
          <w:sz w:val="20"/>
          <w:szCs w:val="20"/>
          <w:color w:val="auto"/>
        </w:rPr>
      </w:pPr>
    </w:p>
    <w:p>
      <w:pPr>
        <w:ind w:left="400" w:hanging="392"/>
        <w:spacing w:after="0"/>
        <w:tabs>
          <w:tab w:leader="none" w:pos="4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BASIS OF CONSOLIDATION</w:t>
      </w:r>
    </w:p>
    <w:p>
      <w:pPr>
        <w:spacing w:after="0" w:line="229" w:lineRule="exact"/>
        <w:rPr>
          <w:rFonts w:ascii="Times New Roman" w:cs="Times New Roman" w:eastAsia="Times New Roman" w:hAnsi="Times New Roman"/>
          <w:sz w:val="18"/>
          <w:szCs w:val="18"/>
          <w:b w:val="1"/>
          <w:bCs w:val="1"/>
          <w:color w:val="auto"/>
        </w:rPr>
      </w:pPr>
    </w:p>
    <w:p>
      <w:pPr>
        <w:jc w:val="both"/>
        <w:ind w:left="4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accompanying consolidated financial statements of the Company as of June 30, 2024 and for six months ended June 30, 2024 and 2023, present the accounts of the Company, the oilfield service divisions and subsidiaries, the pipeline subsidiaries, the Royalty Subsidiaries and EER Finance subsidiary. All significant inter-company balances and transactions have been eliminated. The Company accounts for its interests in oil and natural gas ventures and working interests using the proportionate consolidation method. Under this method, the Company records its proportionate share of assets, liabilities, revenues and expenses.</w:t>
      </w:r>
    </w:p>
    <w:p>
      <w:pPr>
        <w:spacing w:after="0" w:line="179" w:lineRule="exact"/>
        <w:rPr>
          <w:rFonts w:ascii="Times New Roman" w:cs="Times New Roman" w:eastAsia="Times New Roman" w:hAnsi="Times New Roman"/>
          <w:sz w:val="18"/>
          <w:szCs w:val="18"/>
          <w:b w:val="1"/>
          <w:bCs w:val="1"/>
          <w:color w:val="auto"/>
        </w:rPr>
      </w:pPr>
    </w:p>
    <w:p>
      <w:pPr>
        <w:ind w:left="400" w:hanging="392"/>
        <w:spacing w:after="0"/>
        <w:tabs>
          <w:tab w:leader="none" w:pos="4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USE OF ESTIMATES</w:t>
      </w:r>
    </w:p>
    <w:p>
      <w:pPr>
        <w:spacing w:after="0" w:line="229" w:lineRule="exact"/>
        <w:rPr>
          <w:rFonts w:ascii="Times New Roman" w:cs="Times New Roman" w:eastAsia="Times New Roman" w:hAnsi="Times New Roman"/>
          <w:sz w:val="18"/>
          <w:szCs w:val="18"/>
          <w:b w:val="1"/>
          <w:bCs w:val="1"/>
          <w:color w:val="auto"/>
        </w:rPr>
      </w:pPr>
    </w:p>
    <w:p>
      <w:pPr>
        <w:jc w:val="both"/>
        <w:ind w:left="4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preparation of our financial statements in conformity with GAAP requires the Company to make estimates and judgments that affect the reported amounts of assets, liabilities, revenues and expenses. Management continually evaluates its estimates and assumptions based on available information and experience. Changes in facts and circumstances may result in revised estimates and actual results may differ from these estimates. Normal recurring adjustments are made to the financial statements to ensure that the financial statements are presented fairly in all material respects in accordance with GAAP. Such adjustments are of a routine nature and are reflected in the financial statements in the period in which they are made.</w:t>
      </w:r>
    </w:p>
    <w:p>
      <w:pPr>
        <w:spacing w:after="0" w:line="183" w:lineRule="exact"/>
        <w:rPr>
          <w:rFonts w:ascii="Times New Roman" w:cs="Times New Roman" w:eastAsia="Times New Roman" w:hAnsi="Times New Roman"/>
          <w:sz w:val="18"/>
          <w:szCs w:val="18"/>
          <w:b w:val="1"/>
          <w:bCs w:val="1"/>
          <w:color w:val="auto"/>
        </w:rPr>
      </w:pPr>
    </w:p>
    <w:p>
      <w:pPr>
        <w:jc w:val="both"/>
        <w:ind w:left="40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Areas of significance requiring the use of management’s judgments include the estimation of proved oil, natural gas and NGL reserves used in calculating depletion, the estimation of future net revenues used in computing ceiling test limitations and the estimation of future abandonment obligations used in recording asset retirement obligations. Estimates and judgments also are required in determining allowances for doubtful accounts, impairments of unproved properties and other assets, fair value measurements, deferred taxes and contingencies. We analyze our estimates and base them on historical experience and various other assumptions that the Company believes to be reasonable under the circumstances. Actual results may differ from these estimates under different assumptions or conditions.</w:t>
      </w:r>
    </w:p>
    <w:p>
      <w:pPr>
        <w:spacing w:after="0" w:line="187" w:lineRule="exact"/>
        <w:rPr>
          <w:rFonts w:ascii="Times New Roman" w:cs="Times New Roman" w:eastAsia="Times New Roman" w:hAnsi="Times New Roman"/>
          <w:sz w:val="18"/>
          <w:szCs w:val="18"/>
          <w:b w:val="1"/>
          <w:bCs w:val="1"/>
          <w:color w:val="auto"/>
        </w:rPr>
      </w:pPr>
    </w:p>
    <w:p>
      <w:pPr>
        <w:jc w:val="both"/>
        <w:ind w:left="40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process of estimating quantities of oil, natural gas and NGL reserves is complex, requiring significant judgment in the evaluation of all available geological, geophysical, engineering and economic data. The data for a given field may also change substantially over time as a result of numerous factors including, but not limited to, additional development activity, evolving production history and continual reassessment of the viability of production under varying economic conditions. As a result, material revisions to existing reserve estimates may occur from time to time. Although every reasonable effort is made to ensure that our reserve estimates represent the most accurate assessments possible, subjective decisions and available data for our various fields make these estimates generally less precise than other estimates included in financial statement disclosures.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ind w:left="400" w:hanging="392"/>
        <w:spacing w:after="0"/>
        <w:tabs>
          <w:tab w:leader="none" w:pos="4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CASH AND CASH EQUIVALENTS AND SHORT-TERM INVESTMENTS</w:t>
      </w:r>
    </w:p>
    <w:p>
      <w:pPr>
        <w:spacing w:after="0" w:line="229" w:lineRule="exact"/>
        <w:rPr>
          <w:sz w:val="20"/>
          <w:szCs w:val="20"/>
          <w:color w:val="auto"/>
        </w:rPr>
      </w:pPr>
    </w:p>
    <w:p>
      <w:pPr>
        <w:jc w:val="both"/>
        <w:ind w:left="440"/>
        <w:spacing w:after="0" w:line="261" w:lineRule="auto"/>
        <w:rPr>
          <w:sz w:val="20"/>
          <w:szCs w:val="20"/>
          <w:color w:val="auto"/>
        </w:rPr>
      </w:pPr>
      <w:r>
        <w:rPr>
          <w:rFonts w:ascii="Times New Roman" w:cs="Times New Roman" w:eastAsia="Times New Roman" w:hAnsi="Times New Roman"/>
          <w:sz w:val="18"/>
          <w:szCs w:val="18"/>
          <w:color w:val="auto"/>
        </w:rPr>
        <w:t>The Company considers cash on hand, cash on deposit in banks and money market mutual funds with an original maturity of three months or less to be cash and cash equivalents. The Company maintains its cash and cash equivalents at financial institutions that are insured by the Federal Deposit Insurance Corporation. At June 30, 2024 and December 31, 2023, our cash and cash equivalents exceeded what is federally insured. The Company has not experienced any losses from such accounts.</w:t>
      </w:r>
    </w:p>
    <w:p>
      <w:pPr>
        <w:spacing w:after="0" w:line="180" w:lineRule="exact"/>
        <w:rPr>
          <w:sz w:val="20"/>
          <w:szCs w:val="20"/>
          <w:color w:val="auto"/>
        </w:rPr>
      </w:pPr>
    </w:p>
    <w:p>
      <w:pPr>
        <w:jc w:val="both"/>
        <w:ind w:left="440"/>
        <w:spacing w:after="0" w:line="261" w:lineRule="auto"/>
        <w:rPr>
          <w:sz w:val="20"/>
          <w:szCs w:val="20"/>
          <w:color w:val="auto"/>
        </w:rPr>
      </w:pPr>
      <w:r>
        <w:rPr>
          <w:rFonts w:ascii="Times New Roman" w:cs="Times New Roman" w:eastAsia="Times New Roman" w:hAnsi="Times New Roman"/>
          <w:sz w:val="18"/>
          <w:szCs w:val="18"/>
          <w:color w:val="auto"/>
        </w:rPr>
        <w:t>The Company periodically enters into time deposits with financial institutions. Income related to these investments is recorded in interest and other income in the Company's consolidated statements of operations. As of June 30, 2024 and December 31, 2023, the Company had $567 million and $266 million, respectively, in short-term money market funds, which was included in the Company’s cash and cash equivalents. The following table summarizes the Company’s cash and cash equivalents for the periods presented (dollars in millions):</w:t>
      </w:r>
    </w:p>
    <w:p>
      <w:pPr>
        <w:spacing w:after="0" w:line="176" w:lineRule="exact"/>
        <w:rPr>
          <w:sz w:val="20"/>
          <w:szCs w:val="20"/>
          <w:color w:val="auto"/>
        </w:rPr>
      </w:pPr>
    </w:p>
    <w:tbl>
      <w:tblPr>
        <w:tblLayout w:type="fixed"/>
        <w:tblInd w:w="500" w:type="dxa"/>
        <w:tblCellMar>
          <w:top w:w="0" w:type="dxa"/>
          <w:left w:w="0" w:type="dxa"/>
          <w:bottom w:w="0" w:type="dxa"/>
          <w:right w:w="0" w:type="dxa"/>
        </w:tblCellMar>
      </w:tblPr>
      <w:tr>
        <w:trPr>
          <w:trHeight w:val="245"/>
        </w:trPr>
        <w:tc>
          <w:tcPr>
            <w:tcW w:w="7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12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7"/>
              </w:rPr>
              <w:t>June 30, 2024</w:t>
            </w:r>
          </w:p>
        </w:tc>
        <w:tc>
          <w:tcPr>
            <w:tcW w:w="1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6"/>
        </w:trPr>
        <w:tc>
          <w:tcPr>
            <w:tcW w:w="7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w:t>
            </w:r>
          </w:p>
        </w:tc>
        <w:tc>
          <w:tcPr>
            <w:tcW w:w="440" w:type="dxa"/>
            <w:vAlign w:val="bottom"/>
            <w:tcBorders>
              <w:top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shd w:val="clear" w:color="auto" w:fill="CCEEFF"/>
          </w:tcPr>
          <w:p>
            <w:pPr>
              <w:spacing w:after="0"/>
              <w:rPr>
                <w:sz w:val="18"/>
                <w:szCs w:val="18"/>
                <w:color w:val="auto"/>
              </w:rPr>
            </w:pPr>
          </w:p>
        </w:tc>
      </w:tr>
      <w:tr>
        <w:trPr>
          <w:trHeight w:val="223"/>
        </w:trPr>
        <w:tc>
          <w:tcPr>
            <w:tcW w:w="7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Money market funds</w:t>
            </w:r>
          </w:p>
        </w:tc>
        <w:tc>
          <w:tcPr>
            <w:tcW w:w="4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w:t>
            </w:r>
          </w:p>
        </w:tc>
      </w:tr>
      <w:tr>
        <w:trPr>
          <w:trHeight w:val="257"/>
        </w:trPr>
        <w:tc>
          <w:tcPr>
            <w:tcW w:w="7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cash and cash equivalents</w:t>
            </w:r>
          </w:p>
        </w:tc>
        <w:tc>
          <w:tcPr>
            <w:tcW w:w="440" w:type="dxa"/>
            <w:vAlign w:val="bottom"/>
            <w:tcBorders>
              <w:top w:val="single" w:sz="8" w:color="auto"/>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p>
      <w:pPr>
        <w:ind w:left="400" w:hanging="392"/>
        <w:spacing w:after="0"/>
        <w:tabs>
          <w:tab w:leader="none" w:pos="4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ACCOUNTS RECEIVABLE AND ALLOWANCE FOR CREDIT LOSSES</w:t>
      </w:r>
    </w:p>
    <w:p>
      <w:pPr>
        <w:spacing w:after="0" w:line="229" w:lineRule="exact"/>
        <w:rPr>
          <w:sz w:val="20"/>
          <w:szCs w:val="20"/>
          <w:color w:val="auto"/>
        </w:rPr>
      </w:pPr>
    </w:p>
    <w:p>
      <w:pPr>
        <w:jc w:val="both"/>
        <w:ind w:left="440"/>
        <w:spacing w:after="0" w:line="255" w:lineRule="auto"/>
        <w:rPr>
          <w:sz w:val="20"/>
          <w:szCs w:val="20"/>
          <w:color w:val="auto"/>
        </w:rPr>
      </w:pPr>
      <w:r>
        <w:rPr>
          <w:rFonts w:ascii="Times New Roman" w:cs="Times New Roman" w:eastAsia="Times New Roman" w:hAnsi="Times New Roman"/>
          <w:sz w:val="18"/>
          <w:szCs w:val="18"/>
          <w:color w:val="auto"/>
        </w:rPr>
        <w:t>Substantially all of the Company’s accounts receivable result from oil, natural gas and NGL sales and other joint activity with other companies in the oil and natural gas industry. This concentration of customers may impact the Company’s overall credit risk, either positively or negatively, in that these entities may be similarly affected by industry-wide economic changes or other conditions. Receivables are generally not collateralized. The Company's principal exposure to credit risk is through the sale of its oil, natural gas and NGL production and its receivables associated with billings to joint interest owners. Accordingly, the Company classifies its receivables into two portfolio segments as depicted on the consolidated balance sheets as “Receivables—Accrued oil and natural gas revenues” and “Receivables—Joint interest billings.” Presented below are applicable disclosures required by Accounting Standard Update (“ASU”) 2016-13 for each portfolio segment.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Receivables— Accrued oil and natural gas revenues</w:t>
      </w:r>
    </w:p>
    <w:p>
      <w:pPr>
        <w:spacing w:after="0" w:line="227" w:lineRule="exact"/>
        <w:rPr>
          <w:sz w:val="20"/>
          <w:szCs w:val="20"/>
          <w:color w:val="auto"/>
        </w:rPr>
      </w:pPr>
    </w:p>
    <w:p>
      <w:pPr>
        <w:jc w:val="both"/>
        <w:ind w:left="440"/>
        <w:spacing w:after="0" w:line="258" w:lineRule="auto"/>
        <w:rPr>
          <w:sz w:val="20"/>
          <w:szCs w:val="20"/>
          <w:color w:val="auto"/>
        </w:rPr>
      </w:pPr>
      <w:r>
        <w:rPr>
          <w:rFonts w:ascii="Times New Roman" w:cs="Times New Roman" w:eastAsia="Times New Roman" w:hAnsi="Times New Roman"/>
          <w:sz w:val="18"/>
          <w:szCs w:val="18"/>
          <w:color w:val="auto"/>
        </w:rPr>
        <w:t>The Company’s crude oil, natural gas, and NGL production from operated properties is generally sold to energy marketing companies, crude oil refining companies, and natural gas gathering and processing companies. The Company monitors its credit loss exposure to these counterparties primarily by reviewing credit ratings, financial statements and payment history. Credit terms are extended based on an evaluation of each counterparty’s creditworthiness. The Company has not generally required its counterparties to provide collateral to secure its accrued oil and natural gas revenues.</w:t>
      </w:r>
    </w:p>
    <w:p>
      <w:pPr>
        <w:spacing w:after="0" w:line="183" w:lineRule="exact"/>
        <w:rPr>
          <w:sz w:val="20"/>
          <w:szCs w:val="20"/>
          <w:color w:val="auto"/>
        </w:rPr>
      </w:pPr>
    </w:p>
    <w:p>
      <w:pPr>
        <w:jc w:val="both"/>
        <w:ind w:left="440" w:right="20"/>
        <w:spacing w:after="0" w:line="282" w:lineRule="auto"/>
        <w:rPr>
          <w:sz w:val="20"/>
          <w:szCs w:val="20"/>
          <w:color w:val="auto"/>
        </w:rPr>
      </w:pPr>
      <w:r>
        <w:rPr>
          <w:rFonts w:ascii="Times New Roman" w:cs="Times New Roman" w:eastAsia="Times New Roman" w:hAnsi="Times New Roman"/>
          <w:sz w:val="18"/>
          <w:szCs w:val="18"/>
          <w:color w:val="auto"/>
        </w:rPr>
        <w:t>Receivables associated with oil, natural gas, and NGL sales are short term in nature and range anywhere from one to three months. There were no write-offs, recoveries or changes in the provision for credit losses on this portfolio segment during the six months ended June 30, 2024 and 2023.</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Receivables—Joint interest billings</w:t>
      </w:r>
    </w:p>
    <w:p>
      <w:pPr>
        <w:spacing w:after="0" w:line="227" w:lineRule="exact"/>
        <w:rPr>
          <w:sz w:val="20"/>
          <w:szCs w:val="20"/>
          <w:color w:val="auto"/>
        </w:rPr>
      </w:pPr>
    </w:p>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Joint interest and other receivables primarily arise from billing the individuals and entities who own a partial interest in the wells the Company operates. Joint interest receivables are due within 30 days. We evaluate delinquent receivables and create an allowance for doubtful accounts as deemed necessary.</w:t>
      </w:r>
    </w:p>
    <w:p>
      <w:pPr>
        <w:spacing w:after="0" w:line="176" w:lineRule="exact"/>
        <w:rPr>
          <w:sz w:val="20"/>
          <w:szCs w:val="20"/>
          <w:color w:val="auto"/>
        </w:rPr>
      </w:pPr>
    </w:p>
    <w:p>
      <w:pPr>
        <w:jc w:val="both"/>
        <w:ind w:left="440"/>
        <w:spacing w:after="0" w:line="258" w:lineRule="auto"/>
        <w:rPr>
          <w:sz w:val="20"/>
          <w:szCs w:val="20"/>
          <w:color w:val="auto"/>
        </w:rPr>
      </w:pPr>
      <w:r>
        <w:rPr>
          <w:rFonts w:ascii="Times New Roman" w:cs="Times New Roman" w:eastAsia="Times New Roman" w:hAnsi="Times New Roman"/>
          <w:sz w:val="18"/>
          <w:szCs w:val="18"/>
          <w:color w:val="auto"/>
        </w:rPr>
        <w:t>The Company’s allowance for credit losses on joint interest receivables totaled $13 million and $13 million as of June 30, 2024 and December 31, 2023, respectively. The allowance was determined by considering a number of factors, primarily including the Company’s history of credit losses with adjustment as needed to reflect current conditions, the length of time accounts are past due, the ability to recoup amounts owed through netting of production proceeds, the balance of co-owner prepayments if any, and the co-owner’s ability to pay. There were no significant write-offs or recoveries for credit losses on this portfolio segment during the six months ended June 30, 2024 and 2023.</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ind w:left="400" w:hanging="392"/>
        <w:spacing w:after="0"/>
        <w:tabs>
          <w:tab w:leader="none" w:pos="4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INVENTORY</w:t>
      </w:r>
    </w:p>
    <w:p>
      <w:pPr>
        <w:spacing w:after="0" w:line="229" w:lineRule="exact"/>
        <w:rPr>
          <w:sz w:val="20"/>
          <w:szCs w:val="20"/>
          <w:color w:val="auto"/>
        </w:rPr>
      </w:pPr>
    </w:p>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Inventories consist of pipe and other production equipment. Inventories are stated at the lower of average cost or net realizable value. For the six months ended June 30, 2024, the Company recorded a $1 million lower of cost or net realizable adjustment to inventories. For six months ended June 30, 2023, the Company did not record a lower of cost or net realizable value adjustment.</w:t>
      </w:r>
    </w:p>
    <w:p>
      <w:pPr>
        <w:spacing w:after="0" w:line="172" w:lineRule="exact"/>
        <w:rPr>
          <w:sz w:val="20"/>
          <w:szCs w:val="20"/>
          <w:color w:val="auto"/>
        </w:rPr>
      </w:pPr>
    </w:p>
    <w:p>
      <w:pPr>
        <w:ind w:left="400" w:hanging="392"/>
        <w:spacing w:after="0"/>
        <w:tabs>
          <w:tab w:leader="none" w:pos="4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OIL AND NATURAL GAS PROPERTIES</w:t>
      </w:r>
    </w:p>
    <w:p>
      <w:pPr>
        <w:spacing w:after="0" w:line="229" w:lineRule="exact"/>
        <w:rPr>
          <w:sz w:val="20"/>
          <w:szCs w:val="20"/>
          <w:color w:val="auto"/>
        </w:rPr>
      </w:pPr>
    </w:p>
    <w:p>
      <w:pPr>
        <w:jc w:val="both"/>
        <w:ind w:left="440"/>
        <w:spacing w:after="0" w:line="253" w:lineRule="auto"/>
        <w:rPr>
          <w:sz w:val="20"/>
          <w:szCs w:val="20"/>
          <w:color w:val="auto"/>
        </w:rPr>
      </w:pPr>
      <w:r>
        <w:rPr>
          <w:rFonts w:ascii="Times New Roman" w:cs="Times New Roman" w:eastAsia="Times New Roman" w:hAnsi="Times New Roman"/>
          <w:sz w:val="18"/>
          <w:szCs w:val="18"/>
          <w:color w:val="auto"/>
        </w:rPr>
        <w:t>The Company follows the full cost method of accounting for oil and natural gas properties. Under this method of accounting all costs associated with the acquisition, exploration and development, including certain internal costs of oil, natural gas and NGL reserves are capitalized. Internal costs that are capitalized to the full cost pool represent management’s estimate of costs incurred directly related to exploration and development activities such as geological and other administrative costs associated with overseeing the exploration and development activities. Internal costs, including employee costs, related to production and operation of the properties are charged to expense as incurred. Sales of proved and unproved properties are accounted for as adjustments of capitalized costs with no gain or loss recognized, unless such adjustments would significantly alter the relationship between capitalized costs and proved reserves of oil, natural gas and NGL. Investments in unproved properties and major development projects are not amortized until proved reserves associated with the projects can be determined or until impairment occurs. If the results of an assessment indicate that the properties are impaired, the amount of the impairment is added to amortization of capitalized costs. Depletion of proved oil and natural gas properties is calculated using the unit-of-production method, whereby capitalized costs of oil and natural gas properties including the estimated future costs to develop proved reserves, are amortized over the total proved reserves.</w:t>
      </w:r>
    </w:p>
    <w:p>
      <w:pPr>
        <w:spacing w:after="0" w:line="192" w:lineRule="exact"/>
        <w:rPr>
          <w:sz w:val="20"/>
          <w:szCs w:val="20"/>
          <w:color w:val="auto"/>
        </w:rPr>
      </w:pPr>
    </w:p>
    <w:p>
      <w:pPr>
        <w:jc w:val="both"/>
        <w:ind w:left="440"/>
        <w:spacing w:after="0" w:line="255" w:lineRule="auto"/>
        <w:rPr>
          <w:sz w:val="20"/>
          <w:szCs w:val="20"/>
          <w:color w:val="auto"/>
        </w:rPr>
      </w:pPr>
      <w:r>
        <w:rPr>
          <w:rFonts w:ascii="Times New Roman" w:cs="Times New Roman" w:eastAsia="Times New Roman" w:hAnsi="Times New Roman"/>
          <w:sz w:val="18"/>
          <w:szCs w:val="18"/>
          <w:color w:val="auto"/>
        </w:rPr>
        <w:t>In addition, the capitalized costs are subject to a “ceiling test,” which limits such capitalized costs to the aggregate of the “estimated present value,” discounted at a 10 percent interest rate of future net revenues from proved reserves, based on current economic and operating conditions, plus the lower of cost or fair market value of unproved properties. Unproved oil and natural gas properties are periodically assessed for impairment on a project-by-project basis. These impairment assessments are affected by the results of exploration activities, commodity price outlook, planned future sales or expirations of all or a portion of such projects. If the estimated future net cash flows attributable to such projects are not expected to be sufficient to fully recover the costs invested in each project, the Company will transfer all or a portion of the leasehold costs to the full cost pool and such costs are then subject to amortization.</w:t>
      </w:r>
    </w:p>
    <w:p>
      <w:pPr>
        <w:spacing w:after="0" w:line="185" w:lineRule="exact"/>
        <w:rPr>
          <w:sz w:val="20"/>
          <w:szCs w:val="20"/>
          <w:color w:val="auto"/>
        </w:rPr>
      </w:pPr>
    </w:p>
    <w:p>
      <w:pPr>
        <w:ind w:left="400" w:hanging="392"/>
        <w:spacing w:after="0"/>
        <w:tabs>
          <w:tab w:leader="none" w:pos="4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OTHER PROPERTY AND EQUIPMENT</w:t>
      </w:r>
    </w:p>
    <w:p>
      <w:pPr>
        <w:spacing w:after="0" w:line="229" w:lineRule="exact"/>
        <w:rPr>
          <w:sz w:val="20"/>
          <w:szCs w:val="20"/>
          <w:color w:val="auto"/>
        </w:rPr>
      </w:pPr>
    </w:p>
    <w:p>
      <w:pPr>
        <w:jc w:val="both"/>
        <w:ind w:left="440"/>
        <w:spacing w:after="0" w:line="282" w:lineRule="auto"/>
        <w:rPr>
          <w:sz w:val="20"/>
          <w:szCs w:val="20"/>
          <w:color w:val="auto"/>
        </w:rPr>
      </w:pPr>
      <w:r>
        <w:rPr>
          <w:rFonts w:ascii="Times New Roman" w:cs="Times New Roman" w:eastAsia="Times New Roman" w:hAnsi="Times New Roman"/>
          <w:sz w:val="18"/>
          <w:szCs w:val="18"/>
          <w:color w:val="auto"/>
        </w:rPr>
        <w:t>Other property and equipment are carried at their cost basis. The cost of maintenance and repairs is charged to expense as paid; significant renewals and improvements are capitalized.</w:t>
      </w:r>
    </w:p>
    <w:p>
      <w:pPr>
        <w:spacing w:after="0" w:line="162" w:lineRule="exact"/>
        <w:rPr>
          <w:sz w:val="20"/>
          <w:szCs w:val="20"/>
          <w:color w:val="auto"/>
        </w:rPr>
      </w:pPr>
    </w:p>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Upon retirement or disposition of other property and equipment the cost and related accumulated depreciation are removed from the accounts with the resulting gains or losses, if any, recognized in income. Depreciation of other property and equipment is computed using the straight-line method over the estimated useful lives of the property and equipment. The useful lives of the properties are as follows:</w:t>
      </w:r>
    </w:p>
    <w:p>
      <w:pPr>
        <w:spacing w:after="0" w:line="172" w:lineRule="exact"/>
        <w:rPr>
          <w:sz w:val="20"/>
          <w:szCs w:val="20"/>
          <w:color w:val="auto"/>
        </w:rPr>
      </w:pPr>
    </w:p>
    <w:tbl>
      <w:tblPr>
        <w:tblLayout w:type="fixed"/>
        <w:tblInd w:w="500" w:type="dxa"/>
        <w:tblCellMar>
          <w:top w:w="0" w:type="dxa"/>
          <w:left w:w="0" w:type="dxa"/>
          <w:bottom w:w="0" w:type="dxa"/>
          <w:right w:w="0" w:type="dxa"/>
        </w:tblCellMar>
      </w:tblPr>
      <w:tr>
        <w:trPr>
          <w:trHeight w:val="245"/>
        </w:trPr>
        <w:tc>
          <w:tcPr>
            <w:tcW w:w="8640" w:type="dxa"/>
            <w:vAlign w:val="bottom"/>
            <w:tcBorders>
              <w:bottom w:val="single" w:sz="8" w:color="CFF0FC"/>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Lives</w:t>
            </w:r>
          </w:p>
        </w:tc>
        <w:tc>
          <w:tcPr>
            <w:tcW w:w="760" w:type="dxa"/>
            <w:vAlign w:val="bottom"/>
            <w:tcBorders>
              <w:bottom w:val="single" w:sz="8" w:color="auto"/>
            </w:tcBorders>
          </w:tcPr>
          <w:p>
            <w:pPr>
              <w:spacing w:after="0"/>
              <w:rPr>
                <w:sz w:val="21"/>
                <w:szCs w:val="21"/>
                <w:color w:val="auto"/>
              </w:rPr>
            </w:pPr>
          </w:p>
        </w:tc>
      </w:tr>
      <w:tr>
        <w:trPr>
          <w:trHeight w:val="216"/>
        </w:trPr>
        <w:tc>
          <w:tcPr>
            <w:tcW w:w="8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- 30 years</w:t>
            </w: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Automobiles and light trucks</w:t>
            </w:r>
          </w:p>
        </w:tc>
        <w:tc>
          <w:tcPr>
            <w:tcW w:w="1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3 - 5 years</w:t>
            </w:r>
          </w:p>
        </w:tc>
      </w:tr>
      <w:tr>
        <w:trPr>
          <w:trHeight w:val="216"/>
        </w:trPr>
        <w:tc>
          <w:tcPr>
            <w:tcW w:w="8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Heavy trucks and trailers</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- 10 years</w:t>
            </w:r>
          </w:p>
        </w:tc>
      </w:tr>
      <w:tr>
        <w:trPr>
          <w:trHeight w:val="234"/>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Service company equipment, pipeline and other equipment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- 15 years</w:t>
            </w:r>
          </w:p>
        </w:tc>
      </w:tr>
    </w:tbl>
    <w:p>
      <w:pPr>
        <w:spacing w:after="0" w:line="179" w:lineRule="exact"/>
        <w:rPr>
          <w:sz w:val="20"/>
          <w:szCs w:val="20"/>
          <w:color w:val="auto"/>
        </w:rPr>
      </w:pPr>
    </w:p>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Periodically, the Company evaluates long-lived assets for impairment when indicators of possible impairment are present. If the related asset exceeds the undiscounted cash flows, the carrying value is reduced to the asset’s fair value, and an impairment loss is recorded against long-lived assets. For the six months ended June 30, 2024 and 2023, the Company did not recognize a material provision for impairment on other property and equipment.</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ind w:left="440"/>
        <w:spacing w:after="0" w:line="254" w:lineRule="auto"/>
        <w:rPr>
          <w:sz w:val="20"/>
          <w:szCs w:val="20"/>
          <w:color w:val="auto"/>
        </w:rPr>
      </w:pPr>
      <w:r>
        <w:rPr>
          <w:rFonts w:ascii="Times New Roman" w:cs="Times New Roman" w:eastAsia="Times New Roman" w:hAnsi="Times New Roman"/>
          <w:sz w:val="18"/>
          <w:szCs w:val="18"/>
          <w:color w:val="auto"/>
        </w:rPr>
        <w:t xml:space="preserve">The Company enters into leases for drilling rigs and buildings and recognizes lease expenses on a straight-line basis over the lease term. Lease right-of-use assets and liabilities are initially recorded on the lease commencement date based on the present value of lease payments over the lease term. As most of the Company's lease contracts do not provide an implicit discount rate, the Company uses its incremental borrowing rate, which is determined based on information available at the commencement date of a lease. Leases may include renewal, purchase or termination options that can extend or shorten the term of the lease. The exercise of those options is at the Company's sole discretion and is evaluated at inception and throughout the contract to determine if a modification of the lease term is required. Leases with an initial term of 12-months or less are not recorded as a lease right-of-use asset and liability. See </w:t>
      </w:r>
      <w:r>
        <w:rPr>
          <w:rFonts w:ascii="Times New Roman" w:cs="Times New Roman" w:eastAsia="Times New Roman" w:hAnsi="Times New Roman"/>
          <w:sz w:val="18"/>
          <w:szCs w:val="18"/>
          <w:b w:val="1"/>
          <w:bCs w:val="1"/>
          <w:color w:val="auto"/>
        </w:rPr>
        <w:t>Note D - Oil and Natural Gas Properties, Other Property and Equipment and Lease Information</w:t>
      </w:r>
      <w:r>
        <w:rPr>
          <w:rFonts w:ascii="Times New Roman" w:cs="Times New Roman" w:eastAsia="Times New Roman" w:hAnsi="Times New Roman"/>
          <w:sz w:val="18"/>
          <w:szCs w:val="18"/>
          <w:color w:val="auto"/>
        </w:rPr>
        <w:t xml:space="preserve"> for additional information.</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ind w:left="400" w:hanging="392"/>
        <w:spacing w:after="0"/>
        <w:tabs>
          <w:tab w:leader="none" w:pos="4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ENVIRONMENTAL COSTS</w:t>
      </w:r>
    </w:p>
    <w:p>
      <w:pPr>
        <w:spacing w:after="0" w:line="229" w:lineRule="exact"/>
        <w:rPr>
          <w:sz w:val="20"/>
          <w:szCs w:val="20"/>
          <w:color w:val="auto"/>
        </w:rPr>
      </w:pPr>
    </w:p>
    <w:p>
      <w:pPr>
        <w:jc w:val="both"/>
        <w:ind w:left="440"/>
        <w:spacing w:after="0" w:line="256" w:lineRule="auto"/>
        <w:rPr>
          <w:sz w:val="20"/>
          <w:szCs w:val="20"/>
          <w:color w:val="auto"/>
        </w:rPr>
      </w:pPr>
      <w:r>
        <w:rPr>
          <w:rFonts w:ascii="Times New Roman" w:cs="Times New Roman" w:eastAsia="Times New Roman" w:hAnsi="Times New Roman"/>
          <w:sz w:val="18"/>
          <w:szCs w:val="18"/>
          <w:color w:val="auto"/>
        </w:rPr>
        <w:t>The Company is subject to extensive federal, state and local environmental laws and regulations. These laws, which are constantly changing, regulate the discharge of materials into the environment and may require the Company to remove or mitigate the environmental effects of the disposal or release of petroleum, chemical or other substances at various sites. Environmental costs that relate to current operations are expensed or capitalized as appropriate. Costs are expensed when they relate to an existing condition caused by past operations and will not contribute to current or future revenue generation. Liabilities related to environmental assessments and/or remedial efforts are accrued when property or services are provided or can reasonably be estimated.</w:t>
      </w:r>
    </w:p>
    <w:p>
      <w:pPr>
        <w:spacing w:after="0" w:line="183" w:lineRule="exact"/>
        <w:rPr>
          <w:sz w:val="20"/>
          <w:szCs w:val="20"/>
          <w:color w:val="auto"/>
        </w:rPr>
      </w:pPr>
    </w:p>
    <w:p>
      <w:pPr>
        <w:ind w:left="400" w:hanging="392"/>
        <w:spacing w:after="0"/>
        <w:tabs>
          <w:tab w:leader="none" w:pos="40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DERIVATIVE INSTRUMENTS AND HEDGING ACTIVITIES</w:t>
      </w:r>
    </w:p>
    <w:p>
      <w:pPr>
        <w:spacing w:after="0" w:line="229" w:lineRule="exact"/>
        <w:rPr>
          <w:sz w:val="20"/>
          <w:szCs w:val="20"/>
          <w:color w:val="auto"/>
        </w:rPr>
      </w:pPr>
    </w:p>
    <w:p>
      <w:pPr>
        <w:jc w:val="both"/>
        <w:ind w:left="440"/>
        <w:spacing w:after="0" w:line="254" w:lineRule="auto"/>
        <w:rPr>
          <w:sz w:val="20"/>
          <w:szCs w:val="20"/>
          <w:color w:val="auto"/>
        </w:rPr>
      </w:pPr>
      <w:r>
        <w:rPr>
          <w:rFonts w:ascii="Times New Roman" w:cs="Times New Roman" w:eastAsia="Times New Roman" w:hAnsi="Times New Roman"/>
          <w:sz w:val="18"/>
          <w:szCs w:val="18"/>
          <w:color w:val="auto"/>
        </w:rPr>
        <w:t>The Company follows the provisions of the Derivatives and Hedging topic of the Financial Accounting Standards Board (“FASB”) Accounting Standards Codification (“ASC”) 815 to account for its derivative financial instruments. Under this topic, all derivative instruments, whether designated as hedging relationships or not, are required to be recorded on the balance sheet at fair value. If the derivative is designated as a fair value hedge, the changes in the fair value of the derivative and of the hedged item attributable to the hedged risk are recognized in our results of operations and comprehensive income (loss). If the derivative is designated as a cash flow hedge, the effective portions of the changes in the fair value of the derivative are recorded in other comprehensive income (loss) and are recognized in the statement of operations when the hedged item affects results of operations and comprehensive income (loss). If the derivative is not designated as a hedge, changes in the fair value are recognized in other income (expenses).</w:t>
      </w:r>
    </w:p>
    <w:p>
      <w:pPr>
        <w:spacing w:after="0" w:line="188" w:lineRule="exact"/>
        <w:rPr>
          <w:sz w:val="20"/>
          <w:szCs w:val="20"/>
          <w:color w:val="auto"/>
        </w:rPr>
      </w:pPr>
    </w:p>
    <w:p>
      <w:pPr>
        <w:ind w:left="400" w:hanging="392"/>
        <w:spacing w:after="0"/>
        <w:tabs>
          <w:tab w:leader="none" w:pos="40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REVENUE RECOGNITION</w:t>
      </w:r>
    </w:p>
    <w:p>
      <w:pPr>
        <w:spacing w:after="0" w:line="229" w:lineRule="exact"/>
        <w:rPr>
          <w:sz w:val="20"/>
          <w:szCs w:val="20"/>
          <w:color w:val="auto"/>
        </w:rPr>
      </w:pPr>
    </w:p>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Oil, natural gas and NGL sales under the Company’s contracts are generally considered performed when the Company sells oil, natural gas and NGL production at the wellhead and receives an agreed-upon index price, net of any price differentials and costs to gather or transport the product, in some cases. The Company recognizes revenue when control transfers to the purchaser, generally at the wellhead, based on the net price received.</w:t>
      </w:r>
    </w:p>
    <w:p>
      <w:pPr>
        <w:spacing w:after="0" w:line="174" w:lineRule="exact"/>
        <w:rPr>
          <w:sz w:val="20"/>
          <w:szCs w:val="20"/>
          <w:color w:val="auto"/>
        </w:rPr>
      </w:pPr>
    </w:p>
    <w:p>
      <w:pPr>
        <w:jc w:val="both"/>
        <w:ind w:left="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Oil sales. </w:t>
      </w:r>
      <w:r>
        <w:rPr>
          <w:rFonts w:ascii="Times New Roman" w:cs="Times New Roman" w:eastAsia="Times New Roman" w:hAnsi="Times New Roman"/>
          <w:sz w:val="18"/>
          <w:szCs w:val="18"/>
          <w:color w:val="auto"/>
        </w:rPr>
        <w:t>Upon review of current contracts with crude oil purchasers, it was determined that oil production is sold at the outlet of the wellhead,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purchasers typically take custody, title and risk of loss of the product and, therefore, control, as defined under ASC 606, Revenue from Contracts with Customers, typically passes at the delivery point.</w:t>
      </w:r>
    </w:p>
    <w:p>
      <w:pPr>
        <w:spacing w:after="0" w:line="173" w:lineRule="exact"/>
        <w:rPr>
          <w:sz w:val="20"/>
          <w:szCs w:val="20"/>
          <w:color w:val="auto"/>
        </w:rPr>
      </w:pPr>
    </w:p>
    <w:p>
      <w:pPr>
        <w:jc w:val="both"/>
        <w:ind w:left="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Natural gas and NGL sales. </w:t>
      </w:r>
      <w:r>
        <w:rPr>
          <w:rFonts w:ascii="Times New Roman" w:cs="Times New Roman" w:eastAsia="Times New Roman" w:hAnsi="Times New Roman"/>
          <w:sz w:val="18"/>
          <w:szCs w:val="18"/>
          <w:color w:val="auto"/>
        </w:rPr>
        <w:t>The Company reviewed its natural gas contracts with natural gas purchasers. Based on the terms of the contracts,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majority of the Company’s natural gas production is sold at the wellhead, and the purchaser typically takes custody, title and risk of loss of the product and, therefore, control, as defined under ASC 606, typically passes at the delivery point.</w:t>
      </w:r>
    </w:p>
    <w:p>
      <w:pPr>
        <w:spacing w:after="0" w:line="173" w:lineRule="exact"/>
        <w:rPr>
          <w:sz w:val="20"/>
          <w:szCs w:val="20"/>
          <w:color w:val="auto"/>
        </w:rPr>
      </w:pPr>
    </w:p>
    <w:p>
      <w:pPr>
        <w:jc w:val="both"/>
        <w:ind w:left="440"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Service company revenues. </w:t>
      </w:r>
      <w:r>
        <w:rPr>
          <w:rFonts w:ascii="Times New Roman" w:cs="Times New Roman" w:eastAsia="Times New Roman" w:hAnsi="Times New Roman"/>
          <w:sz w:val="18"/>
          <w:szCs w:val="18"/>
          <w:color w:val="auto"/>
        </w:rPr>
        <w:t>The Company recognizes revenue during the normal course of business and performance obligations are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considered performed when the Company sells products or completes services for customers.</w:t>
      </w:r>
    </w:p>
    <w:p>
      <w:pPr>
        <w:spacing w:after="0" w:line="158" w:lineRule="exact"/>
        <w:rPr>
          <w:sz w:val="20"/>
          <w:szCs w:val="20"/>
          <w:color w:val="auto"/>
        </w:rPr>
      </w:pPr>
    </w:p>
    <w:p>
      <w:pPr>
        <w:jc w:val="both"/>
        <w:ind w:left="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Disaggregation of revenues. </w:t>
      </w:r>
      <w:r>
        <w:rPr>
          <w:rFonts w:ascii="Times New Roman" w:cs="Times New Roman" w:eastAsia="Times New Roman" w:hAnsi="Times New Roman"/>
          <w:sz w:val="18"/>
          <w:szCs w:val="18"/>
          <w:color w:val="auto"/>
        </w:rPr>
        <w:t>The Company recognizes revenues from the sale of oil, natural gas and NGL to customers and presents them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disaggregated on the Company’s consolidated statements of operations. Substantially all of the Company’s revenues are earned in the geographical region of the Permian Basin.</w:t>
      </w:r>
    </w:p>
    <w:p>
      <w:pPr>
        <w:spacing w:after="0" w:line="171" w:lineRule="exact"/>
        <w:rPr>
          <w:sz w:val="20"/>
          <w:szCs w:val="20"/>
          <w:color w:val="auto"/>
        </w:rPr>
      </w:pPr>
    </w:p>
    <w:p>
      <w:pPr>
        <w:ind w:left="400" w:hanging="392"/>
        <w:spacing w:after="0"/>
        <w:tabs>
          <w:tab w:leader="none" w:pos="40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ASSET RETIREMENT OBLIGATIONS (ARO)</w:t>
      </w:r>
    </w:p>
    <w:p>
      <w:pPr>
        <w:spacing w:after="0" w:line="229" w:lineRule="exact"/>
        <w:rPr>
          <w:sz w:val="20"/>
          <w:szCs w:val="20"/>
          <w:color w:val="auto"/>
        </w:rPr>
      </w:pPr>
    </w:p>
    <w:p>
      <w:pPr>
        <w:jc w:val="both"/>
        <w:ind w:left="440"/>
        <w:spacing w:after="0" w:line="256" w:lineRule="auto"/>
        <w:rPr>
          <w:sz w:val="20"/>
          <w:szCs w:val="20"/>
          <w:color w:val="auto"/>
        </w:rPr>
      </w:pPr>
      <w:r>
        <w:rPr>
          <w:rFonts w:ascii="Times New Roman" w:cs="Times New Roman" w:eastAsia="Times New Roman" w:hAnsi="Times New Roman"/>
          <w:sz w:val="18"/>
          <w:szCs w:val="18"/>
          <w:color w:val="auto"/>
        </w:rPr>
        <w:t xml:space="preserve">In accordance with the Asset Retirement and Environmental Obligations topic of the FASB ASC 410, the Company recorded the present value of estimated future abandonment cost, represented by the summation of additional liabilities incurred and revisions of estimates as of June 30, 2024 and December 31, 2023. See </w:t>
      </w:r>
      <w:r>
        <w:rPr>
          <w:rFonts w:ascii="Times New Roman" w:cs="Times New Roman" w:eastAsia="Times New Roman" w:hAnsi="Times New Roman"/>
          <w:sz w:val="18"/>
          <w:szCs w:val="18"/>
          <w:b w:val="1"/>
          <w:bCs w:val="1"/>
          <w:color w:val="auto"/>
        </w:rPr>
        <w:t>Note G - Asset Retirement Obligations</w:t>
      </w:r>
      <w:r>
        <w:rPr>
          <w:rFonts w:ascii="Times New Roman" w:cs="Times New Roman" w:eastAsia="Times New Roman" w:hAnsi="Times New Roman"/>
          <w:sz w:val="18"/>
          <w:szCs w:val="18"/>
          <w:color w:val="auto"/>
        </w:rPr>
        <w:t>. The Company will adjust the abandonment liability associated with its oil and natural gas wells as they are completed or abandoned, or as estimates of future abandonment costs fluctuate. We measure the future cost to retire our tangible long-lived assets and recognize such cost as a liability for legal obligations associated with the retirement of long-lived assets that result from the acquisition, construction or normal operation of a long-lived asset.</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both"/>
        <w:ind w:left="440"/>
        <w:spacing w:after="0" w:line="253" w:lineRule="auto"/>
        <w:rPr>
          <w:sz w:val="20"/>
          <w:szCs w:val="20"/>
          <w:color w:val="auto"/>
        </w:rPr>
      </w:pPr>
      <w:r>
        <w:rPr>
          <w:rFonts w:ascii="Times New Roman" w:cs="Times New Roman" w:eastAsia="Times New Roman" w:hAnsi="Times New Roman"/>
          <w:sz w:val="18"/>
          <w:szCs w:val="18"/>
          <w:color w:val="auto"/>
        </w:rPr>
        <w:t>We measure the future cost to retire our tangible long-lived assets and recognize such cost as a liability for legal obligations associated with the retirement of long-lived assets that result from the acquisition, construction or normal operation of a long-lived asset. The fair value of a liability for an asset’s retirement obligation is recorded in the period in which it is incurred if a reasonable estimate of fair value can be made, and the corresponding cost is capitalized as part of the carrying amount of the related long-lived asset. The liability is accreted to its then present value each period, and the capitalized cost is depreciated over the useful life of the related asset. If the liability is settled for an amount other than the recorded amount, the difference is recorded in oil and natural gas properties. The Company’s asset retirement obligations primarily relate to the future plugging and abandonment of wells and related facilities. The Company estimates the future plugging and abandonment costs of wells, the ultimate productive life of the properties, a risk-adjusted discount rate and an inflation factor in order to determine the current present value of this obligation. To the extent future revisions to these assumptions impact the present value of the existing asset retirement obligation liability, a corresponding adjustment is made to the oil and natural gas property balance.</w:t>
      </w:r>
    </w:p>
    <w:p>
      <w:pPr>
        <w:spacing w:after="0" w:line="190" w:lineRule="exact"/>
        <w:rPr>
          <w:sz w:val="20"/>
          <w:szCs w:val="20"/>
          <w:color w:val="auto"/>
        </w:rPr>
      </w:pPr>
    </w:p>
    <w:p>
      <w:pPr>
        <w:ind w:left="400" w:hanging="392"/>
        <w:spacing w:after="0"/>
        <w:tabs>
          <w:tab w:leader="none" w:pos="40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INCOME TAXES</w:t>
      </w:r>
    </w:p>
    <w:p>
      <w:pPr>
        <w:spacing w:after="0" w:line="229" w:lineRule="exact"/>
        <w:rPr>
          <w:sz w:val="20"/>
          <w:szCs w:val="20"/>
          <w:color w:val="auto"/>
        </w:rPr>
      </w:pPr>
    </w:p>
    <w:p>
      <w:pPr>
        <w:jc w:val="both"/>
        <w:ind w:left="440"/>
        <w:spacing w:after="0" w:line="256" w:lineRule="auto"/>
        <w:rPr>
          <w:sz w:val="20"/>
          <w:szCs w:val="20"/>
          <w:color w:val="auto"/>
        </w:rPr>
      </w:pPr>
      <w:r>
        <w:rPr>
          <w:rFonts w:ascii="Times New Roman" w:cs="Times New Roman" w:eastAsia="Times New Roman" w:hAnsi="Times New Roman"/>
          <w:sz w:val="18"/>
          <w:szCs w:val="18"/>
          <w:color w:val="auto"/>
        </w:rPr>
        <w:t>The financial statements of the Company account for deferred tax assets and liabilities in accordance with ASC 740, Income Taxes. Deferred tax assets and liabilities are recognized for the future tax consequences attributable to differences between the financial statement carrying amounts of existing assets and liabilities and their respective tax basis. Deferred tax assets and liabilities are measured using enacted tax rates expected to be applied to taxable income in the years in which those temporary differences are expected to be recovered or settled. The effect on deferred taxes of a change in tax rates is recognized in income in the period that includes the enactment date. Deferred income tax expense represents the change during the period in the deferred tax assets and deferred tax liabilities.</w:t>
      </w:r>
    </w:p>
    <w:p>
      <w:pPr>
        <w:spacing w:after="0" w:line="200" w:lineRule="exact"/>
        <w:rPr>
          <w:sz w:val="20"/>
          <w:szCs w:val="20"/>
          <w:color w:val="auto"/>
        </w:rPr>
      </w:pPr>
    </w:p>
    <w:p>
      <w:pPr>
        <w:spacing w:after="0" w:line="203" w:lineRule="exact"/>
        <w:rPr>
          <w:sz w:val="20"/>
          <w:szCs w:val="20"/>
          <w:color w:val="auto"/>
        </w:rPr>
      </w:pPr>
    </w:p>
    <w:p>
      <w:pPr>
        <w:jc w:val="both"/>
        <w:ind w:left="440"/>
        <w:spacing w:after="0" w:line="254" w:lineRule="auto"/>
        <w:rPr>
          <w:sz w:val="20"/>
          <w:szCs w:val="20"/>
          <w:color w:val="auto"/>
        </w:rPr>
      </w:pPr>
      <w:r>
        <w:rPr>
          <w:rFonts w:ascii="Times New Roman" w:cs="Times New Roman" w:eastAsia="Times New Roman" w:hAnsi="Times New Roman"/>
          <w:sz w:val="18"/>
          <w:szCs w:val="18"/>
          <w:color w:val="auto"/>
        </w:rPr>
        <w:t xml:space="preserve">For all periods prior to January 1, 2024, the Company (as the continuation of the historical S-Corporation of the Partnership) was classified as an S-Corporation for U.S. federal income tax purposes and certain applicable state laws. S-Corporations are not subject to U.S. federal income tax at the entity level. Effective January 1, 2024, Endeavor Parent revoked its classification as an S-Corporation for U.S. federal income tax purposes and became a C-Corporation subject to U.S. federal income taxes. U.S. federal and state taxes are assessed at the entity level and deferred tax liabilities of $1,807 million and $57 million have been recorded as of June 30, 2024 and December 31, 2023, respectively, resulting from a book to tax difference in asset carrying amounts. Uncertain tax positions may change in the next twelve months; however, the Company does not expect any possible changes to have a significant impact on our comprehensive income (loss) or financial position. See </w:t>
      </w:r>
      <w:r>
        <w:rPr>
          <w:rFonts w:ascii="Times New Roman" w:cs="Times New Roman" w:eastAsia="Times New Roman" w:hAnsi="Times New Roman"/>
          <w:sz w:val="18"/>
          <w:szCs w:val="18"/>
          <w:b w:val="1"/>
          <w:bCs w:val="1"/>
          <w:color w:val="auto"/>
        </w:rPr>
        <w:t>Note M - Income Taxes</w:t>
      </w:r>
      <w:r>
        <w:rPr>
          <w:rFonts w:ascii="Times New Roman" w:cs="Times New Roman" w:eastAsia="Times New Roman" w:hAnsi="Times New Roman"/>
          <w:sz w:val="18"/>
          <w:szCs w:val="18"/>
          <w:color w:val="auto"/>
        </w:rPr>
        <w:t xml:space="preserve"> for additional information related to this conversion and other income tax information.</w:t>
      </w:r>
    </w:p>
    <w:p>
      <w:pPr>
        <w:spacing w:after="0" w:line="188" w:lineRule="exact"/>
        <w:rPr>
          <w:sz w:val="20"/>
          <w:szCs w:val="20"/>
          <w:color w:val="auto"/>
        </w:rPr>
      </w:pPr>
    </w:p>
    <w:p>
      <w:pPr>
        <w:ind w:left="400" w:hanging="392"/>
        <w:spacing w:after="0"/>
        <w:tabs>
          <w:tab w:leader="none" w:pos="40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LONG-TERM DEBT PREMIUM AND DEFERRED DEBT COSTS</w:t>
      </w:r>
    </w:p>
    <w:p>
      <w:pPr>
        <w:spacing w:after="0" w:line="229" w:lineRule="exact"/>
        <w:rPr>
          <w:rFonts w:ascii="Times New Roman" w:cs="Times New Roman" w:eastAsia="Times New Roman" w:hAnsi="Times New Roman"/>
          <w:sz w:val="18"/>
          <w:szCs w:val="18"/>
          <w:b w:val="1"/>
          <w:bCs w:val="1"/>
          <w:color w:val="auto"/>
        </w:rPr>
      </w:pPr>
    </w:p>
    <w:p>
      <w:pPr>
        <w:ind w:left="4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records premiums associated with the Senior Notes as a component of long-term debt which are amortized over the term of the Senior Notes.</w:t>
      </w:r>
    </w:p>
    <w:p>
      <w:pPr>
        <w:spacing w:after="0" w:line="161" w:lineRule="exact"/>
        <w:rPr>
          <w:rFonts w:ascii="Times New Roman" w:cs="Times New Roman" w:eastAsia="Times New Roman" w:hAnsi="Times New Roman"/>
          <w:sz w:val="18"/>
          <w:szCs w:val="18"/>
          <w:b w:val="1"/>
          <w:bCs w:val="1"/>
          <w:color w:val="auto"/>
        </w:rPr>
      </w:pPr>
    </w:p>
    <w:p>
      <w:pPr>
        <w:jc w:val="both"/>
        <w:ind w:left="4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deferred debt costs related to its Senior Notes are reported as a direct reduction from the carrying amount of the long-term debt liability. The Company amortizes deferred debt costs on a straight-line basis over the life of the respective long-term debt as a component of interest expense.</w:t>
      </w:r>
    </w:p>
    <w:p>
      <w:pPr>
        <w:spacing w:after="0" w:line="175" w:lineRule="exact"/>
        <w:rPr>
          <w:rFonts w:ascii="Times New Roman" w:cs="Times New Roman" w:eastAsia="Times New Roman" w:hAnsi="Times New Roman"/>
          <w:sz w:val="18"/>
          <w:szCs w:val="18"/>
          <w:b w:val="1"/>
          <w:bCs w:val="1"/>
          <w:color w:val="auto"/>
        </w:rPr>
      </w:pPr>
    </w:p>
    <w:p>
      <w:pPr>
        <w:jc w:val="both"/>
        <w:ind w:left="4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deferred debt costs related to its revolving credit facility are reported as other prepaid and other assets as of June 30, 2024 and other noncurrent assets as of December 31, 2023. The Company amortizes deferred debt costs on a straight-line basis over the life of the revolving credit facility as a component of interest expense.</w:t>
      </w:r>
    </w:p>
    <w:p>
      <w:pPr>
        <w:spacing w:after="0" w:line="171" w:lineRule="exact"/>
        <w:rPr>
          <w:rFonts w:ascii="Times New Roman" w:cs="Times New Roman" w:eastAsia="Times New Roman" w:hAnsi="Times New Roman"/>
          <w:sz w:val="18"/>
          <w:szCs w:val="18"/>
          <w:b w:val="1"/>
          <w:bCs w:val="1"/>
          <w:color w:val="auto"/>
        </w:rPr>
      </w:pPr>
    </w:p>
    <w:p>
      <w:pPr>
        <w:ind w:left="420" w:hanging="412"/>
        <w:spacing w:after="0"/>
        <w:tabs>
          <w:tab w:leader="none" w:pos="4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RECENTLY ADOPTED ACCOUNTING STANDARDS</w:t>
      </w:r>
    </w:p>
    <w:p>
      <w:pPr>
        <w:spacing w:after="0" w:line="229" w:lineRule="exact"/>
        <w:rPr>
          <w:rFonts w:ascii="Times New Roman" w:cs="Times New Roman" w:eastAsia="Times New Roman" w:hAnsi="Times New Roman"/>
          <w:sz w:val="18"/>
          <w:szCs w:val="18"/>
          <w:b w:val="1"/>
          <w:bCs w:val="1"/>
          <w:color w:val="auto"/>
        </w:rPr>
      </w:pPr>
    </w:p>
    <w:p>
      <w:pPr>
        <w:jc w:val="both"/>
        <w:ind w:left="4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is effective for fiscal years beginning after December 15, 2024 with early adoption permitted. The amendments in this Accounting Standard Update are focused on income tax disclosure requirements, primarily related to income tax rate reconciliation and income tax paid, with prospective application to a company's consolidated financial statements recommended. The Company is currently assessing the impact of this new accounting standard on its disclosures.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ind w:left="400" w:hanging="392"/>
        <w:spacing w:after="0"/>
        <w:tabs>
          <w:tab w:leader="none" w:pos="40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FAIR VALUE</w:t>
      </w:r>
    </w:p>
    <w:p>
      <w:pPr>
        <w:spacing w:after="0" w:line="229" w:lineRule="exact"/>
        <w:rPr>
          <w:rFonts w:ascii="Times New Roman" w:cs="Times New Roman" w:eastAsia="Times New Roman" w:hAnsi="Times New Roman"/>
          <w:sz w:val="18"/>
          <w:szCs w:val="18"/>
          <w:b w:val="1"/>
          <w:bCs w:val="1"/>
          <w:color w:val="auto"/>
        </w:rPr>
      </w:pPr>
    </w:p>
    <w:p>
      <w:pPr>
        <w:jc w:val="both"/>
        <w:ind w:left="4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values financial instruments as required by GAAP (ASC 820). The carrying amounts of cash and cash equivalents, short-term investments, accounts receivable and accounts payable approximate fair value because of the short maturity of these instruments. The carrying amount of long-term debt approximates fair value because the interest rate on this instrument is variable. The fair value of derivative financial instruments is the amount at which they could be settled, based on quoted market prices.</w:t>
      </w:r>
    </w:p>
    <w:p>
      <w:pPr>
        <w:spacing w:after="0" w:line="179" w:lineRule="exact"/>
        <w:rPr>
          <w:rFonts w:ascii="Times New Roman" w:cs="Times New Roman" w:eastAsia="Times New Roman" w:hAnsi="Times New Roman"/>
          <w:sz w:val="18"/>
          <w:szCs w:val="18"/>
          <w:b w:val="1"/>
          <w:bCs w:val="1"/>
          <w:color w:val="auto"/>
        </w:rPr>
      </w:pPr>
    </w:p>
    <w:p>
      <w:pPr>
        <w:jc w:val="both"/>
        <w:ind w:left="42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Certain of the Company’s financial and nonfinancial assets and liabilities are reported at fair value on the accompanying consolidated balance sheets. ASC 820 defines fair value, establishes a framework for measuring fair value and expands disclosures about fair value measurements. To increase consistency and comparability in fair value measurements and related disclosures, ASC 820 establishes a fair value hierarchy that prioritizes the relative reliability of inputs used in fair value measurements. The hierarchy gives highest priority to Level 1 inputs that represent unadjusted quoted market prices in active markets for identical assets and liabilities that the reporting entity has the ability to access at the measurement date. Level 2 inputs are directly or indirectly observable inputs other than quoted prices included within Level 1. Level 3 inputs are unobservable inputs and have the lowest priority in the hierarchy. ASC 820 requires that an entity give consideration to the credit risk of its counterparties, as well as its own credit risk, when measuring financial assets and liabilities at fair value. See </w:t>
      </w:r>
      <w:r>
        <w:rPr>
          <w:rFonts w:ascii="Times New Roman" w:cs="Times New Roman" w:eastAsia="Times New Roman" w:hAnsi="Times New Roman"/>
          <w:sz w:val="18"/>
          <w:szCs w:val="18"/>
          <w:b w:val="1"/>
          <w:bCs w:val="1"/>
          <w:color w:val="auto"/>
        </w:rPr>
        <w:t>Note J - Fair Value</w:t>
      </w:r>
      <w:r>
        <w:rPr>
          <w:rFonts w:ascii="Times New Roman" w:cs="Times New Roman" w:eastAsia="Times New Roman" w:hAnsi="Times New Roman"/>
          <w:sz w:val="18"/>
          <w:szCs w:val="18"/>
          <w:color w:val="auto"/>
        </w:rPr>
        <w:t xml:space="preserve"> for additional information.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B – CONCENTRATIONS OF CREDIT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accounts receivable consists principally of uncollateralized sales to customers in the oil and natural gas industry and working interest owners. The concentration of credit risk in a single industry affects the Company’s overall exposure to credit risk because customers may be similarly affected by changes in economic and other conditions.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our cash and cash equivalents balances held at third-party financial institutions exceed amounts insured by the Federal Deposit Insurance Corporation (“FDIC”), which could expose the Company to liquidity risk in the event that any such institutions are unable to deliver such amounts to the Company upon a withdrawal request as a result of insufficient cash reserves or otherwise.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C – RELATED PARTY TRANSACTIONS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either receives revenues or is billed for services provided by entities wholly or partially owned by Autry C. Stephens, a member of Endeavor Parent, LLC and chairman of the Board of Managers.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Oasis Transportation and Marketing Corporation (“Oasis”), an entity in which Mr. Stephens is a majority owner, purchases a portion of our crude oil under the terms of a written contract. The contract may be terminated by either party without penalty upon 30 days’ notice. Under the terms of this contract Oasis purchases and transports crude oil produced from some of our Midland Basin operated wells at Oasis’s resale price less a transportation rate that is equal to or less than the rate that would be charged by unaffiliated parties.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Blue Streak Transportation, Inc., an entity indirectly controlled by Mr. Stephens, provides fuel and fuel delivery services to us under the terms of a written contract. The contract may be terminated by either party without penalty upon 30 days’ notice. In April 2021, Advanced Stimulation Technologies, Inc., a related party, acquired Blue Streak Transportation, Inc.</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Advanced Stimulation Technologies, Inc. (“AST”), an entity that was wholly owned and controlled by Mr. Stephens, provides well fracturing, stimulation and cementing services to the Company at prices agreed upon by the parties from time to time, all in accordance with the terms of a written contract. In December 2023, the Company entered into an 18-month contract with AST for hydraulic fracturing and related services. This contract may be terminated by Endeavor upon 90 days’ notice. Mr. Stephens sold his entire interest in AST to a third party in June of 2024, and as such, the Company will no longer consider transactions after such date as related party.</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ACME Energy Services, Inc. (“ACME”), an entity wholly owned by Mr. Stephens, has provided or provides oilfield services to the Company. The services provided include drilling and natural gas pipeline services in Texas, Oklahoma and Kansas, at market rates and terms. The oilfield services contract that the Company has with ACME may be terminated by either party without penalty upon 30 days’ notice. ACME also purchases natural gas from the Company in Oklahoma and Texas. The Company, through its oilfield service companies and pipeline subsidiaries, also bills for services provided to ACME. During the second quarter of 2024, ACME sold its interest to Endeavor in certain pipelines, compressor stations and surface facilities to settle certain receivables due to the Company. The Company has approximately $1 million in related party receivables due from ACME as of June 30, 2024.</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line="282" w:lineRule="auto"/>
        <w:rPr>
          <w:sz w:val="20"/>
          <w:szCs w:val="20"/>
          <w:color w:val="auto"/>
        </w:rPr>
      </w:pPr>
      <w:r>
        <w:rPr>
          <w:rFonts w:ascii="Times New Roman" w:cs="Times New Roman" w:eastAsia="Times New Roman" w:hAnsi="Times New Roman"/>
          <w:sz w:val="18"/>
          <w:szCs w:val="18"/>
          <w:color w:val="auto"/>
        </w:rPr>
        <w:t>The activities associated with related parties for the six months ended June 30, 2024 and 2023, respectively, are reflected in the table below (dollars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560" w:type="dxa"/>
            <w:vAlign w:val="bottom"/>
            <w:gridSpan w:val="6"/>
          </w:tcPr>
          <w:p>
            <w:pPr>
              <w:ind w:left="1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86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Relationships with affiliates to purchase oil and natural gas (revenue)</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Oasis Transportation and Marketing Corporation</w:t>
            </w:r>
          </w:p>
        </w:tc>
        <w:tc>
          <w:tcPr>
            <w:tcW w:w="80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457</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ACME Energy Services, Inc</w:t>
            </w:r>
          </w:p>
        </w:tc>
        <w:tc>
          <w:tcPr>
            <w:tcW w:w="800" w:type="dxa"/>
            <w:vAlign w:val="bottom"/>
          </w:tcPr>
          <w:p>
            <w:pPr>
              <w:jc w:val="right"/>
              <w:ind w:right="634"/>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Relationships with affiliates to provide services (cost)</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Advanced Stimulation Technologies, Inc.</w:t>
            </w:r>
          </w:p>
        </w:tc>
        <w:tc>
          <w:tcPr>
            <w:tcW w:w="80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8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Blue Streak Transportation, Inc.</w:t>
            </w:r>
          </w:p>
        </w:tc>
        <w:tc>
          <w:tcPr>
            <w:tcW w:w="8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800" w:type="dxa"/>
            <w:vAlign w:val="bottom"/>
          </w:tcPr>
          <w:p>
            <w:pPr>
              <w:jc w:val="right"/>
              <w:ind w:right="634"/>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w:t>
            </w:r>
          </w:p>
        </w:tc>
      </w:tr>
      <w:tr>
        <w:trPr>
          <w:trHeight w:val="21"/>
        </w:trPr>
        <w:tc>
          <w:tcPr>
            <w:tcW w:w="86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current and non-current related party receivables and payables as of June 30, 2024 and December 31, 2023 (dollars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6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Current</w:t>
            </w:r>
          </w:p>
        </w:tc>
      </w:tr>
      <w:tr>
        <w:trPr>
          <w:trHeight w:val="223"/>
        </w:trPr>
        <w:tc>
          <w:tcPr>
            <w:tcW w:w="8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80" w:type="dxa"/>
            <w:vAlign w:val="bottom"/>
            <w:tcBorders>
              <w:top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2024   December 31, 2023</w:t>
            </w:r>
          </w:p>
        </w:tc>
        <w:tc>
          <w:tcPr>
            <w:tcW w:w="100" w:type="dxa"/>
            <w:vAlign w:val="bottom"/>
          </w:tcPr>
          <w:p>
            <w:pPr>
              <w:spacing w:after="0"/>
              <w:rPr>
                <w:sz w:val="19"/>
                <w:szCs w:val="19"/>
                <w:color w:val="auto"/>
              </w:rPr>
            </w:pPr>
          </w:p>
        </w:tc>
      </w:tr>
      <w:tr>
        <w:trPr>
          <w:trHeight w:val="194"/>
        </w:trPr>
        <w:tc>
          <w:tcPr>
            <w:tcW w:w="8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rPr>
              <w:t>Accounts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center"/>
              <w:ind w:right="110"/>
              <w:spacing w:after="0" w:line="194" w:lineRule="exact"/>
              <w:rPr>
                <w:sz w:val="20"/>
                <w:szCs w:val="20"/>
                <w:color w:val="auto"/>
              </w:rPr>
            </w:pPr>
            <w:r>
              <w:rPr>
                <w:rFonts w:ascii="Times New Roman" w:cs="Times New Roman" w:eastAsia="Times New Roman" w:hAnsi="Times New Roman"/>
                <w:sz w:val="18"/>
                <w:szCs w:val="18"/>
                <w:b w:val="1"/>
                <w:bCs w:val="1"/>
                <w:color w:val="auto"/>
                <w:w w:val="98"/>
              </w:rPr>
              <w:t>Accounts</w:t>
            </w:r>
          </w:p>
        </w:tc>
        <w:tc>
          <w:tcPr>
            <w:tcW w:w="100" w:type="dxa"/>
            <w:vAlign w:val="bottom"/>
          </w:tcPr>
          <w:p>
            <w:pPr>
              <w:spacing w:after="0"/>
              <w:rPr>
                <w:sz w:val="16"/>
                <w:szCs w:val="16"/>
                <w:color w:val="auto"/>
              </w:rPr>
            </w:pPr>
          </w:p>
        </w:tc>
      </w:tr>
      <w:tr>
        <w:trPr>
          <w:trHeight w:val="245"/>
        </w:trPr>
        <w:tc>
          <w:tcPr>
            <w:tcW w:w="8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Related Party</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Receivable</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Receivable</w:t>
            </w:r>
          </w:p>
        </w:tc>
      </w:tr>
      <w:tr>
        <w:trPr>
          <w:trHeight w:val="216"/>
        </w:trPr>
        <w:tc>
          <w:tcPr>
            <w:tcW w:w="8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Oasis Transportation and Marketing Corporation - Oil and natural gas sales receivable</w:t>
            </w: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8"/>
                <w:szCs w:val="18"/>
                <w:color w:val="auto"/>
              </w:rPr>
            </w:pPr>
          </w:p>
        </w:tc>
      </w:tr>
      <w:tr>
        <w:trPr>
          <w:trHeight w:val="216"/>
        </w:trPr>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Employee Joint Interest Billings, net of allowance of $1 million and $1 million, respectively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ACME Energy Services, Inc.</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57"/>
        </w:trPr>
        <w:tc>
          <w:tcPr>
            <w:tcW w:w="8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related parties receivables</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p>
      <w:pPr>
        <w:ind w:left="9240"/>
        <w:spacing w:after="0"/>
        <w:rPr>
          <w:sz w:val="20"/>
          <w:szCs w:val="20"/>
          <w:color w:val="auto"/>
        </w:rPr>
      </w:pPr>
      <w:r>
        <w:rPr>
          <w:rFonts w:ascii="Times New Roman" w:cs="Times New Roman" w:eastAsia="Times New Roman" w:hAnsi="Times New Roman"/>
          <w:sz w:val="18"/>
          <w:szCs w:val="18"/>
          <w:b w:val="1"/>
          <w:bCs w:val="1"/>
          <w:color w:val="auto"/>
        </w:rPr>
        <w:t>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19685</wp:posOffset>
            </wp:positionV>
            <wp:extent cx="175704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5704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523748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37480"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Autry C. Stephens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ACME Energy Services,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related party receivables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523748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237480"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Sprouts Energy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Saltwater Partners #1 SWD, LLC</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left="40"/>
        <w:spacing w:after="0"/>
        <w:tabs>
          <w:tab w:leader="none" w:pos="1300" w:val="left"/>
        </w:tabs>
        <w:rPr>
          <w:sz w:val="20"/>
          <w:szCs w:val="20"/>
          <w:color w:val="auto"/>
        </w:rPr>
      </w:pPr>
      <w:r>
        <w:rPr>
          <w:rFonts w:ascii="Times New Roman" w:cs="Times New Roman" w:eastAsia="Times New Roman" w:hAnsi="Times New Roman"/>
          <w:sz w:val="18"/>
          <w:szCs w:val="18"/>
          <w:b w:val="1"/>
          <w:bCs w:val="1"/>
          <w:u w:val="single" w:color="auto"/>
          <w:color w:val="auto"/>
        </w:rPr>
        <w:t>June 30, 2024</w:t>
        <w:tab/>
        <w:t>December 31, 2023</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Accounts and Notes Receivable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00" w:type="dxa"/>
            <w:vAlign w:val="bottom"/>
            <w:tcBorders>
              <w:top w:val="single" w:sz="8" w:color="auto"/>
            </w:tcBorders>
            <w:gridSpan w:val="2"/>
          </w:tcPr>
          <w:p>
            <w:pPr>
              <w:jc w:val="right"/>
              <w:ind w:right="316"/>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gridSpan w:val="2"/>
          </w:tcPr>
          <w:p>
            <w:pPr>
              <w:jc w:val="right"/>
              <w:ind w:right="20"/>
              <w:spacing w:after="0" w:line="205" w:lineRule="exact"/>
              <w:rPr>
                <w:sz w:val="20"/>
                <w:szCs w:val="20"/>
                <w:color w:val="auto"/>
              </w:rPr>
            </w:pPr>
            <w:r>
              <w:rPr>
                <w:rFonts w:ascii="Times New Roman" w:cs="Times New Roman" w:eastAsia="Times New Roman" w:hAnsi="Times New Roman"/>
                <w:sz w:val="18"/>
                <w:szCs w:val="18"/>
                <w:color w:val="auto"/>
              </w:rPr>
              <w:t>1</w:t>
            </w: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center"/>
              <w:ind w:right="5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r>
      <w:tr>
        <w:trPr>
          <w:trHeight w:val="241"/>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20" w:type="dxa"/>
            <w:vAlign w:val="bottom"/>
          </w:tcPr>
          <w:p>
            <w:pPr>
              <w:spacing w:after="0"/>
              <w:rPr>
                <w:sz w:val="20"/>
                <w:szCs w:val="20"/>
                <w:color w:val="auto"/>
              </w:rPr>
            </w:pPr>
          </w:p>
        </w:tc>
        <w:tc>
          <w:tcPr>
            <w:tcW w:w="480" w:type="dxa"/>
            <w:vAlign w:val="bottom"/>
            <w:tcBorders>
              <w:top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20"/>
                <w:szCs w:val="20"/>
                <w:color w:val="auto"/>
              </w:rPr>
            </w:pPr>
          </w:p>
        </w:tc>
        <w:tc>
          <w:tcPr>
            <w:tcW w:w="940" w:type="dxa"/>
            <w:vAlign w:val="bottom"/>
            <w:tcBorders>
              <w:top w:val="single" w:sz="8" w:color="auto"/>
            </w:tcBorders>
          </w:tcPr>
          <w:p>
            <w:pPr>
              <w:jc w:val="center"/>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20"/>
                <w:szCs w:val="20"/>
                <w:color w:val="auto"/>
              </w:rPr>
            </w:pPr>
          </w:p>
        </w:tc>
      </w:tr>
      <w:tr>
        <w:trPr>
          <w:trHeight w:val="421"/>
        </w:trPr>
        <w:tc>
          <w:tcPr>
            <w:tcW w:w="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5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8"/>
        </w:trPr>
        <w:tc>
          <w:tcPr>
            <w:tcW w:w="20" w:type="dxa"/>
            <w:vAlign w:val="bottom"/>
          </w:tcPr>
          <w:p>
            <w:pPr>
              <w:spacing w:after="0"/>
              <w:rPr>
                <w:sz w:val="17"/>
                <w:szCs w:val="17"/>
                <w:color w:val="auto"/>
              </w:rPr>
            </w:pP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3</w:t>
            </w:r>
          </w:p>
        </w:tc>
        <w:tc>
          <w:tcPr>
            <w:tcW w:w="1140" w:type="dxa"/>
            <w:vAlign w:val="bottom"/>
            <w:gridSpan w:val="2"/>
          </w:tcPr>
          <w:p>
            <w:pPr>
              <w:jc w:val="center"/>
              <w:ind w:right="550"/>
              <w:spacing w:after="0" w:line="198"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-1130935</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-856615</wp:posOffset>
            </wp:positionV>
            <wp:extent cx="713232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-273685</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7640" w:space="720"/>
            <w:col w:w="28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8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related party investments</w:t>
            </w:r>
          </w:p>
        </w:tc>
        <w:tc>
          <w:tcPr>
            <w:tcW w:w="560" w:type="dxa"/>
            <w:vAlign w:val="bottom"/>
            <w:tcBorders>
              <w:top w:val="single" w:sz="8" w:color="auto"/>
              <w:bottom w:val="single" w:sz="8" w:color="auto"/>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other non-current related party assets</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9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8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Agreements and Relationships with Employees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Since our inception in 2000 until 2016, the Company granted certain of our employees working interests in virtually all of our new oil and natural gas leases by allowing them to participate in our drilling activities. This practice was discontinued in 2016, and employees no longer participate in new leases. However, employees that were participants in the program prior to its discontinuance are able to participate in new wells drilled on leases in which they own working interests, but only to the extent of such working interests. The total employee participation in any well does not exceed 15%. We are reimbursed for costs associated with the employee joint working interest owners through the joint interest billing. Employees may defer payment of their joint interest billings beyond normal terms from time to time based on their individual financial circumstances. Ultimately, joint interest billing payment is made through the combination of application of oil and natural gas sales revenues and employee payments. The amount due from employees on open joint interest billing account was $2 million and $2 million at June 30, 2024 and December 31, 2023, respectively, and is included in current receivables-related parties in the accompanying financial statements.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NOTE D – OIL AND NATURAL GAS PROPERTIES, OTHER PROPERTY AND EQUIPMENT AND LEASE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summary of oil and natural gas properties and other property and equipment and the related accumulated depletion and depreciation as of June 30, 2024 and December 31, 2023, respectively (dollars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As of June 30, 2024</w:t>
            </w:r>
          </w:p>
        </w:tc>
        <w:tc>
          <w:tcPr>
            <w:tcW w:w="1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Oilfield</w:t>
            </w: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Oil and Gas</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Service</w:t>
            </w:r>
          </w:p>
        </w:tc>
        <w:tc>
          <w:tcPr>
            <w:tcW w:w="92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Pipeline</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5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Operations</w:t>
            </w:r>
          </w:p>
        </w:tc>
        <w:tc>
          <w:tcPr>
            <w:tcW w:w="100" w:type="dxa"/>
            <w:vAlign w:val="bottom"/>
          </w:tcPr>
          <w:p>
            <w:pPr>
              <w:spacing w:after="0"/>
              <w:rPr>
                <w:sz w:val="21"/>
                <w:szCs w:val="21"/>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Companies</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c>
          <w:tcPr>
            <w:tcW w:w="220" w:type="dxa"/>
            <w:vAlign w:val="bottom"/>
          </w:tcPr>
          <w:p>
            <w:pPr>
              <w:spacing w:after="0"/>
              <w:rPr>
                <w:sz w:val="21"/>
                <w:szCs w:val="21"/>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Oil and natural gas property and equipment</w:t>
            </w: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Proved properties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16,592</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Unproved properties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depletion and impairment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(7,159)</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(7,159)</w:t>
            </w:r>
          </w:p>
        </w:tc>
      </w:tr>
      <w:tr>
        <w:trPr>
          <w:trHeight w:val="27"/>
        </w:trPr>
        <w:tc>
          <w:tcPr>
            <w:tcW w:w="59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Oil and natural gas property and equipment, net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9,687</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9,687</w:t>
            </w:r>
          </w:p>
        </w:tc>
      </w:tr>
      <w:tr>
        <w:trPr>
          <w:trHeight w:val="21"/>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 and land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Automobiles and light trucks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92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company, pipeline and other equipment</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616</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660</w:t>
            </w:r>
          </w:p>
        </w:tc>
      </w:tr>
      <w:tr>
        <w:trPr>
          <w:trHeight w:val="27"/>
        </w:trPr>
        <w:tc>
          <w:tcPr>
            <w:tcW w:w="59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674</w:t>
            </w:r>
          </w:p>
        </w:tc>
        <w:tc>
          <w:tcPr>
            <w:tcW w:w="92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(224)</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(275)</w:t>
            </w:r>
          </w:p>
        </w:tc>
      </w:tr>
      <w:tr>
        <w:trPr>
          <w:trHeight w:val="27"/>
        </w:trPr>
        <w:tc>
          <w:tcPr>
            <w:tcW w:w="59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property and equipment, net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450</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575</w:t>
            </w:r>
          </w:p>
        </w:tc>
      </w:tr>
      <w:tr>
        <w:trPr>
          <w:trHeight w:val="21"/>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3"/>
        </w:trPr>
        <w:tc>
          <w:tcPr>
            <w:tcW w:w="59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Oilfield</w:t>
            </w: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Oil and Gas</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Service</w:t>
            </w:r>
          </w:p>
        </w:tc>
        <w:tc>
          <w:tcPr>
            <w:tcW w:w="92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Pipeline</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5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Operations</w:t>
            </w:r>
          </w:p>
        </w:tc>
        <w:tc>
          <w:tcPr>
            <w:tcW w:w="100" w:type="dxa"/>
            <w:vAlign w:val="bottom"/>
          </w:tcPr>
          <w:p>
            <w:pPr>
              <w:spacing w:after="0"/>
              <w:rPr>
                <w:sz w:val="21"/>
                <w:szCs w:val="21"/>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Companies</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c>
          <w:tcPr>
            <w:tcW w:w="220" w:type="dxa"/>
            <w:vAlign w:val="bottom"/>
          </w:tcPr>
          <w:p>
            <w:pPr>
              <w:spacing w:after="0"/>
              <w:rPr>
                <w:sz w:val="21"/>
                <w:szCs w:val="21"/>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Oil and natural gas property and equipment</w:t>
            </w: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Proved properties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15,314</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Unproved properties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depletion and impairment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(6,573)</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(6,573)</w:t>
            </w:r>
          </w:p>
        </w:tc>
      </w:tr>
      <w:tr>
        <w:trPr>
          <w:trHeight w:val="27"/>
        </w:trPr>
        <w:tc>
          <w:tcPr>
            <w:tcW w:w="59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Oil and natural gas property and equipment, net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8,917</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8,917</w:t>
            </w: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 and land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Automobiles and light trucks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92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company, pipeline and other equipment</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595</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641</w:t>
            </w:r>
          </w:p>
        </w:tc>
      </w:tr>
      <w:tr>
        <w:trPr>
          <w:trHeight w:val="27"/>
        </w:trPr>
        <w:tc>
          <w:tcPr>
            <w:tcW w:w="59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653</w:t>
            </w:r>
          </w:p>
        </w:tc>
        <w:tc>
          <w:tcPr>
            <w:tcW w:w="92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831</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(208)</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(260)</w:t>
            </w:r>
          </w:p>
        </w:tc>
      </w:tr>
      <w:tr>
        <w:trPr>
          <w:trHeight w:val="27"/>
        </w:trPr>
        <w:tc>
          <w:tcPr>
            <w:tcW w:w="59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property and equipment, net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445</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571</w:t>
            </w: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January 2024, the Company closed an acquisition of deep leasehold rights for approximately $71 million. The Company funded the purchase price with cash on hand. The assets acquired in this acquisition consisted of approximately 10,980 net acres in Midland County, Texas. This acquisition was accounted for as an asset acquisition of unproved properties.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during February 2024, the Company, through its wholly owned subsidiary 1979 Royalties, L.P., closed an acquisition of approximately 7,182 net royalty acres in the Midland and Delaware Basins from an unrelated third party for an aggregate purchase price of $62 million (subject to customary closing and post-closing adjustments). The aggregate consideration for this acquisition consisted of approximately $62 million in cash paid to the seller. This acquisition was accounted for as an asset acquisition and the allocation of the purchase price, subject to customary post-closing adjustments, was approximately $34 million to proved properties and $28 million to unproved properties.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components of our depletion, depreciation, amortization and accretion expense for the six months ended June 30, 2024 and 2023, respectively (dollars in millions, except per BOE amounts):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560" w:type="dxa"/>
            <w:vAlign w:val="bottom"/>
            <w:gridSpan w:val="6"/>
          </w:tcPr>
          <w:p>
            <w:pPr>
              <w:ind w:left="1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86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Depletion of proved oil and natural gas</w:t>
            </w: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properties</w:t>
            </w:r>
          </w:p>
        </w:tc>
        <w:tc>
          <w:tcPr>
            <w:tcW w:w="80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475</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of other property and equipment</w:t>
            </w:r>
          </w:p>
        </w:tc>
        <w:tc>
          <w:tcPr>
            <w:tcW w:w="8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asset retirement obligations</w:t>
            </w:r>
          </w:p>
        </w:tc>
        <w:tc>
          <w:tcPr>
            <w:tcW w:w="8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depletion, depreciation, amortization and accretion expense</w:t>
            </w:r>
          </w:p>
        </w:tc>
        <w:tc>
          <w:tcPr>
            <w:tcW w:w="800" w:type="dxa"/>
            <w:vAlign w:val="bottom"/>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513</w:t>
            </w:r>
          </w:p>
        </w:tc>
      </w:tr>
      <w:tr>
        <w:trPr>
          <w:trHeight w:val="20"/>
        </w:trPr>
        <w:tc>
          <w:tcPr>
            <w:tcW w:w="86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lease provides the lessee the right to control the use of an identified asset for a period of time in exchange for consideration. Operating lease right-of-use assets and finance lease right-of-use assets (collectively “ROU Assets”) represent the Company’s right to use an underlying asset for the lease term. Operating lease liabilities and finance lease liabilities (collectively, “Lease Liabilities”) represent the Company’s obligation to make lease payments arising from the lease. The Company determines if an arrangement is a lease at inception. ROU Assets and Lease Liabilities are recognized at the lease commencement date based on the present value of lease payments over the lease term. The Company excludes short-term leases having initial terms of 12-months or less from ROU Assets and Lease Liabilities and recognizes rent expense on a straight-line basis over the lease term. In addition, the Company has leases, primarily related to drilling rig commitments, that began in December 2023 and extend for approximately two years. As a result, the Company has recorded ROU Asset and ROU Liabilities associated with the long-term contracts.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leases for its office spaces and certain equipment. Most operating leases contain renewal options that provide for rent increases based on prevailing market conditions. The Company has lease extension terms for our office spaces that have either been extended or are likely to be extended. The terms used to calculate the ROU Assets and Lease Liabilities for these properties include the renewal options that the Company is reasonably certain to exercise.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discount rate used to determine the commencement date present value of lease payments is the interest rate implicit in the lease, or when that is not readily determinable, the Company utilizes its secured borrowing rate. ROU Assets include any lease payments required to be made prior to commencement and exclude lease incentives. Both ROU Assets and Lease Liabilities exclude variable payments not based on an index or rate, which are treated as period costs. The Company’s lease agreements do not contain significant residual value guarantees, restrictions or covenants.</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Total operating lease drilling costs were approximately $55 million for the six months ended June 30, 2024. Maturities of Lease Liabilities as of June 30, 2024 are as follows (dollars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Remaining</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
        </w:trPr>
        <w:tc>
          <w:tcPr>
            <w:tcW w:w="100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The component of lease drilling costs, including amounts recoverable from joint operating partners, are as follows (dollars in millions):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10020" w:type="dxa"/>
            <w:vAlign w:val="bottom"/>
            <w:gridSpan w:val="4"/>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Short-term lease cost</w:t>
            </w:r>
            <w:r>
              <w:rPr>
                <w:rFonts w:ascii="Times New Roman" w:cs="Times New Roman" w:eastAsia="Times New Roman" w:hAnsi="Times New Roman"/>
                <w:sz w:val="25"/>
                <w:szCs w:val="25"/>
                <w:color w:val="auto"/>
                <w:vertAlign w:val="superscript"/>
              </w:rPr>
              <w:t>(a)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Operating lease cost</w:t>
            </w:r>
            <w:r>
              <w:rPr>
                <w:rFonts w:ascii="Times New Roman" w:cs="Times New Roman" w:eastAsia="Times New Roman" w:hAnsi="Times New Roman"/>
                <w:sz w:val="25"/>
                <w:szCs w:val="25"/>
                <w:color w:val="auto"/>
                <w:vertAlign w:val="superscript"/>
              </w:rPr>
              <w:t>(b)</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hanging="4"/>
        <w:spacing w:after="0" w:line="282" w:lineRule="auto"/>
        <w:tabs>
          <w:tab w:leader="none" w:pos="90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costs associated with short-term leases (those with a contractual term of 12-months or less) that are not included in the consolidated balance sheet.</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91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costs associated with operating lease cost that are long-term lease (those with contractual terms of greater than 12-months) that are included in the consolidated balance sheet.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flow information related to leasing activity is as follows (dollars in millions):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86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cash flows: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Cash payments for operating and short-term leases </w:t>
            </w:r>
            <w:r>
              <w:rPr>
                <w:rFonts w:ascii="Times New Roman" w:cs="Times New Roman" w:eastAsia="Times New Roman" w:hAnsi="Times New Roman"/>
                <w:sz w:val="25"/>
                <w:szCs w:val="25"/>
                <w:color w:val="auto"/>
                <w:vertAlign w:val="superscript"/>
              </w:rPr>
              <w:t>(a)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Represents costs associated with drilling operations that are capitalized as additions to oil and natural gas properties.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E – DEBT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carrying value and fair value of the Company’s long-term financial debt instruments that are not recorded at fair value in the consolidated balance sheets as of June 30, 2024 and December 31, 2023, respectively (dollars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2720" w:type="dxa"/>
            <w:vAlign w:val="bottom"/>
            <w:gridSpan w:val="4"/>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540" w:type="dxa"/>
            <w:vAlign w:val="bottom"/>
            <w:gridSpan w:val="4"/>
          </w:tcPr>
          <w:p>
            <w:pPr>
              <w:ind w:left="50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194"/>
        </w:trPr>
        <w:tc>
          <w:tcPr>
            <w:tcW w:w="5980" w:type="dxa"/>
            <w:vAlign w:val="bottom"/>
          </w:tcPr>
          <w:p>
            <w:pPr>
              <w:spacing w:after="0"/>
              <w:rPr>
                <w:sz w:val="16"/>
                <w:szCs w:val="16"/>
                <w:color w:val="auto"/>
              </w:rPr>
            </w:pPr>
          </w:p>
        </w:tc>
        <w:tc>
          <w:tcPr>
            <w:tcW w:w="1380" w:type="dxa"/>
            <w:vAlign w:val="bottom"/>
            <w:tcBorders>
              <w:top w:val="single" w:sz="8" w:color="auto"/>
            </w:tcBorders>
            <w:gridSpan w:val="2"/>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Borders>
              <w:top w:val="single" w:sz="8" w:color="auto"/>
            </w:tcBorders>
            <w:gridSpan w:val="2"/>
          </w:tcPr>
          <w:p>
            <w:pPr>
              <w:jc w:val="right"/>
              <w:ind w:right="400"/>
              <w:spacing w:after="0" w:line="194"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5980" w:type="dxa"/>
            <w:vAlign w:val="bottom"/>
          </w:tcPr>
          <w:p>
            <w:pPr>
              <w:spacing w:after="0"/>
              <w:rPr>
                <w:sz w:val="21"/>
                <w:szCs w:val="21"/>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 Senior Notes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Premium on 2028 Senior Notes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Deferred debt costs</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 of deferred debt costs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fair value of the Company’s consolidated debt obligation is a Level 2 valuation based on the observable inputs used for similar liabilities. The carrying amount of the Company’s revolving credit facility approximates its fair value as the applicable interest rates are variable and reflective of market 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Revolving Credit Facility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2024, the borrowing base under our revolving credit facility was $5,000 million, and the Company had elected commitments of $1,500 million, with no advances outstanding and $2 million of letters of credit issued and outstanding, resulting in $1,498 million in available borrowing capacity. In addition, our revolving credit facility is current with a maturity date of March 12,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revolving credit facility places limitations on excess cash balances, if amounts drawn on the revolving credit facility are outstanding, to the greater of</w:t>
      </w:r>
    </w:p>
    <w:p>
      <w:pPr>
        <w:spacing w:after="0" w:line="27" w:lineRule="exact"/>
        <w:rPr>
          <w:sz w:val="20"/>
          <w:szCs w:val="20"/>
          <w:color w:val="auto"/>
        </w:rPr>
      </w:pPr>
    </w:p>
    <w:p>
      <w:pPr>
        <w:jc w:val="both"/>
        <w:ind w:firstLine="8"/>
        <w:spacing w:after="0" w:line="255" w:lineRule="auto"/>
        <w:tabs>
          <w:tab w:leader="none" w:pos="21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 million and (ii) 10% of elected commitments. Additionally the revolving credit facility provides for the release of collateral, as well as adjustment to utilization pricing margins if the Company is rated as investment grade by two out of the three major rating agencies (Moody’s, S&amp;P or Fitch), referred to as an “Investment Grade Period.”</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revolving credit facility bears interest, at our option, based on Adjusted Term SOFR or the Base Rate, plus a margin. The following margins for advances are only applicable during any time other than the Investment Grade Period. SOFR advances bear interest at the SOFR for the applicable period plus a margin of 175 basis points to 275 basis points based on utilizations. Base Rate advances bear an interest rate at the prime rate (8.50 percent as of June 30, 2024) plus a margin of 75 basis points to 175 basis points based on our utilization of the facility.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Investment Grade Period, SOFR advances bear an interest rate at the SOFR for the applicable period plus a margin of 125 basis points to 187.5 basis points determined by reference to the Credit Rating applicable on such day. Base Rate advances bear an interest rate at the prime rate plus a margin of 25 basis points to 87.5 basis points determined by reference to the Credit Rating applicable on such day. We pay commitment fees ranging from 37.5 basis points to 50 basis points dependent on utilization and ranging from 15 basis points to 27.5 basis points during an Investment Grade Period.</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Distributions may be made by the borrower to purchase its equity interests from its members and to its members for any purposes and fund loans to Autry C. Stephens or other members evidenced by a note containing current market provisions if the following conditions are met: no default or event of default exists, there is at least 20% of availability under the revolving credit facility, and the ratio of Net Funded Debt to Adjusted EBITDA calculated on a pro forma basis is less than 3.0 to 1.0. Prior to the revocation of the Company’s election to be taxed as an S-corporation for U.S. federal income tax purposes, the revolving credit facility permitted the Company to make cash distributions to the members up to the then applicable maximum combined federal income tax rate percentage of the quarterly taxable income of the Company; provided, however, that immediately before and after giving effect thereto no (i) default or event of default or (ii) borrowing base deficiency or requirement to make any mandatory prepayment of principal shall exist</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both"/>
        <w:spacing w:after="0" w:line="254" w:lineRule="auto"/>
        <w:rPr>
          <w:sz w:val="20"/>
          <w:szCs w:val="20"/>
          <w:color w:val="auto"/>
        </w:rPr>
      </w:pPr>
      <w:r>
        <w:rPr>
          <w:rFonts w:ascii="Times New Roman" w:cs="Times New Roman" w:eastAsia="Times New Roman" w:hAnsi="Times New Roman"/>
          <w:sz w:val="18"/>
          <w:szCs w:val="18"/>
          <w:color w:val="auto"/>
        </w:rPr>
        <w:t>Our revolving credit facility has numerous affirmative covenants. The revolving credit facility required financial covenants are as follows: (i) minimum Current Ratio of 1.00 to 1.00 calculated as a ratio of Current Assets to Current Liabilities on a quarterly basis (this ratio stood at 1.95 to 1.00 at June 30, 2024) and (ii) maximum Net Funded Debt to EBITDA ratio of 3.50 to 1.00 determined quarterly based on the ending net funded debt of that quarter divided by the previous four quarters’ EBITDA (this ratio stood at 0.00 to 1.00 at June 30, 2024). The Company was in compliance with all financial covenants under our revolving credit facility as of June 30, 2024. The lenders may accelerate all of the indebtedness under our revolving credit facility upon the occurrence and during the continuance of any event of default. The Credit Agreement governing our revolving credit facility contains customary events of default, including non-payment and breach of covenants. With certain specified exceptions, the terms and provisions of our revolving credit facility generally may be amended with the consent of the lenders holding a majority of the outstanding loans or commitments to lend.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Senior Notes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2024 and December 31, 2023, the Company had $907 million in outstanding 2028 Senior Notes. The Senior Notes are guaranteed by certain of our subsidiaries, and interest on the Senior Notes is payable semi-annually. The following table summarizes the amount outstanding as of June 30, 2024, applicable interest rate and maturity date for the Senior Notes (dollars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700" w:type="dxa"/>
            <w:vAlign w:val="bottom"/>
          </w:tcPr>
          <w:p>
            <w:pPr>
              <w:spacing w:after="0"/>
              <w:rPr>
                <w:sz w:val="21"/>
                <w:szCs w:val="21"/>
                <w:color w:val="auto"/>
              </w:rPr>
            </w:pPr>
          </w:p>
        </w:tc>
        <w:tc>
          <w:tcPr>
            <w:tcW w:w="15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8"/>
              </w:rPr>
              <w:t>2028 Senior Notes</w:t>
            </w:r>
          </w:p>
        </w:tc>
      </w:tr>
      <w:tr>
        <w:trPr>
          <w:trHeight w:val="216"/>
        </w:trPr>
        <w:tc>
          <w:tcPr>
            <w:tcW w:w="9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amount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60" w:type="dxa"/>
            <w:vAlign w:val="bottom"/>
            <w:shd w:val="clear" w:color="auto" w:fill="CCEEFF"/>
          </w:tcPr>
          <w:p>
            <w:pPr>
              <w:spacing w:after="0"/>
              <w:rPr>
                <w:sz w:val="18"/>
                <w:szCs w:val="18"/>
                <w:color w:val="auto"/>
              </w:rPr>
            </w:pPr>
          </w:p>
        </w:tc>
      </w:tr>
      <w:tr>
        <w:trPr>
          <w:trHeight w:val="216"/>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w:t>
            </w:r>
          </w:p>
        </w:tc>
        <w:tc>
          <w:tcPr>
            <w:tcW w:w="12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5.750%</w:t>
            </w:r>
          </w:p>
        </w:tc>
      </w:tr>
      <w:tr>
        <w:trPr>
          <w:trHeight w:val="216"/>
        </w:trPr>
        <w:tc>
          <w:tcPr>
            <w:tcW w:w="9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January 30, 2028</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2023, the Company entered into open market repurchases of its outstanding 2028 Senior Notes. As a result, the Company paid $71 million that included principal, accrued interest payable offset by the market discount as of the respective repurchase dates. In addition, the Company recorded a net gain on repurchases of $0.4 million primarily due to discounts on the repurchase of the 2028 Senior Notes.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on any one or more occasion redeem all or part of the 2028 Senior Notes, upon notice as provided in the indenture governing, at the redemption prices (expressed as a percentage of principal amount) set forth below, plus accrued and unpaid interest, if any, on the Senior Notes redeemed, to the applicable date of redemption, if redeemed during the twelve-month period beginning January 30 of the years indicated below, subject to the rights of holders of the Senior Notes on the relevant record date to receive interest on the relevant interest payment date: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2028 Senior Notes</w:t>
            </w:r>
          </w:p>
        </w:tc>
      </w:tr>
      <w:tr>
        <w:trPr>
          <w:trHeight w:val="238"/>
        </w:trPr>
        <w:tc>
          <w:tcPr>
            <w:tcW w:w="9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216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Redemption Prices</w:t>
            </w:r>
          </w:p>
        </w:tc>
      </w:tr>
      <w:tr>
        <w:trPr>
          <w:trHeight w:val="27"/>
        </w:trPr>
        <w:tc>
          <w:tcPr>
            <w:tcW w:w="9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101.916%</w:t>
            </w:r>
          </w:p>
        </w:tc>
      </w:tr>
      <w:tr>
        <w:trPr>
          <w:trHeight w:val="216"/>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101.437%</w:t>
            </w:r>
          </w:p>
        </w:tc>
      </w:tr>
      <w:tr>
        <w:trPr>
          <w:trHeight w:val="216"/>
        </w:trPr>
        <w:tc>
          <w:tcPr>
            <w:tcW w:w="9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100.000%</w:t>
            </w:r>
          </w:p>
        </w:tc>
      </w:tr>
      <w:tr>
        <w:trPr>
          <w:trHeight w:val="234"/>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2027 and thereafter</w:t>
            </w: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100.000%</w:t>
            </w:r>
          </w:p>
        </w:tc>
      </w:tr>
      <w:tr>
        <w:trPr>
          <w:trHeight w:val="414"/>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Maturities of debt at June 30, 2024, excluding deferred debt costs and premiums, were as follows (dollars in millions):</w:t>
            </w: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908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Remaining</w:t>
            </w:r>
          </w:p>
        </w:tc>
        <w:tc>
          <w:tcPr>
            <w:tcW w:w="122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9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9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907</w:t>
            </w:r>
          </w:p>
        </w:tc>
      </w:tr>
      <w:tr>
        <w:trPr>
          <w:trHeight w:val="223"/>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56"/>
        </w:trPr>
        <w:tc>
          <w:tcPr>
            <w:tcW w:w="90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51"/>
        </w:trPr>
        <w:tc>
          <w:tcPr>
            <w:tcW w:w="9080" w:type="dxa"/>
            <w:vAlign w:val="bottom"/>
          </w:tcPr>
          <w:p>
            <w:pPr>
              <w:ind w:left="5560"/>
              <w:spacing w:after="0"/>
              <w:rPr>
                <w:sz w:val="20"/>
                <w:szCs w:val="20"/>
                <w:color w:val="auto"/>
              </w:rPr>
            </w:pPr>
            <w:r>
              <w:rPr>
                <w:rFonts w:ascii="Times New Roman" w:cs="Times New Roman" w:eastAsia="Times New Roman" w:hAnsi="Times New Roman"/>
                <w:sz w:val="14"/>
                <w:szCs w:val="14"/>
                <w:color w:val="auto"/>
              </w:rPr>
              <w:t>16</w:t>
            </w: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90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Interest (Expense) Income, Net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amounts have been incurred and charged to interest (expense) income, net for the six months ended June 30, 2024 and 2023 (dollars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560" w:type="dxa"/>
            <w:vAlign w:val="bottom"/>
            <w:gridSpan w:val="6"/>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86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payments for interest</w:t>
            </w:r>
          </w:p>
        </w:tc>
        <w:tc>
          <w:tcPr>
            <w:tcW w:w="820" w:type="dxa"/>
            <w:vAlign w:val="bottom"/>
            <w:shd w:val="clear" w:color="auto" w:fill="CCEEFF"/>
          </w:tcPr>
          <w:p>
            <w:pPr>
              <w:jc w:val="right"/>
              <w:ind w:right="653"/>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issuance premium</w:t>
            </w:r>
          </w:p>
        </w:tc>
        <w:tc>
          <w:tcPr>
            <w:tcW w:w="82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deferred debt costs</w:t>
            </w:r>
          </w:p>
        </w:tc>
        <w:tc>
          <w:tcPr>
            <w:tcW w:w="8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accruals</w:t>
            </w:r>
          </w:p>
        </w:tc>
        <w:tc>
          <w:tcPr>
            <w:tcW w:w="8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(30)</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interest income</w:t>
            </w:r>
          </w:p>
        </w:tc>
        <w:tc>
          <w:tcPr>
            <w:tcW w:w="8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r>
      <w:tr>
        <w:trPr>
          <w:trHeight w:val="25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820" w:type="dxa"/>
            <w:vAlign w:val="bottom"/>
            <w:tcBorders>
              <w:top w:val="single" w:sz="8" w:color="auto"/>
              <w:bottom w:val="single" w:sz="8" w:color="auto"/>
            </w:tcBorders>
            <w:shd w:val="clear" w:color="auto" w:fill="CCEEFF"/>
          </w:tcPr>
          <w:p>
            <w:pPr>
              <w:jc w:val="right"/>
              <w:ind w:right="653"/>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(12)</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F – SIGNIFICANT CUSTOMERS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Oil, natural gas and NGL sales to purchasers that accounted for more than ten percent of the Company’s revenue for the six months ended June 30, 2024 and 2023 were as follows:</w:t>
      </w:r>
    </w:p>
    <w:p>
      <w:pPr>
        <w:spacing w:after="0" w:line="158"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0"/>
                <w:szCs w:val="20"/>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Crude Oil, LLC</w:t>
            </w: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DK Trading &amp; Supply, LLC</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9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Trafigura PTE</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Oasis Transportation and Marketing, Inc (a related party)</w:t>
            </w: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Purchaser did not represent 10% or more of the Company's revenues during the applicable period.</w:t>
      </w:r>
    </w:p>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Because there are numerous other parties available to purchase the Company’s production, the Company believes that the loss of these purchasers would not materially affect its ability to sell crude oil, natural gas or NGL.</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G – ASSET RETIREMENT OBLIGATIONS (ARO)</w:t>
            </w: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The changes to ARO during the six months ended June 30, 2024 are as follows (dollars in millions):</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9720" w:type="dxa"/>
            <w:vAlign w:val="bottom"/>
          </w:tcPr>
          <w:p>
            <w:pPr>
              <w:spacing w:after="0"/>
              <w:rPr>
                <w:sz w:val="24"/>
                <w:szCs w:val="24"/>
                <w:color w:val="auto"/>
              </w:rPr>
            </w:pPr>
          </w:p>
        </w:tc>
        <w:tc>
          <w:tcPr>
            <w:tcW w:w="1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9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June 30, 2024</w:t>
            </w:r>
          </w:p>
        </w:tc>
      </w:tr>
      <w:tr>
        <w:trPr>
          <w:trHeight w:val="216"/>
        </w:trPr>
        <w:tc>
          <w:tcPr>
            <w:tcW w:w="9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ARO, beginning of period</w:t>
            </w: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shd w:val="clear" w:color="auto" w:fill="CCEEFF"/>
          </w:tcPr>
          <w:p>
            <w:pPr>
              <w:spacing w:after="0"/>
              <w:rPr>
                <w:sz w:val="18"/>
                <w:szCs w:val="18"/>
                <w:color w:val="auto"/>
              </w:rPr>
            </w:pP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ARO additions and dispositions, net</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r>
      <w:tr>
        <w:trPr>
          <w:trHeight w:val="216"/>
        </w:trPr>
        <w:tc>
          <w:tcPr>
            <w:tcW w:w="9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retirement costs incurred</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Accretion expense</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r>
      <w:tr>
        <w:trPr>
          <w:trHeight w:val="223"/>
        </w:trPr>
        <w:tc>
          <w:tcPr>
            <w:tcW w:w="9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Revisions of estimates</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ARO, end of period</w:t>
            </w: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18"/>
                <w:szCs w:val="18"/>
                <w:color w:val="auto"/>
              </w:rPr>
            </w:pPr>
          </w:p>
        </w:tc>
      </w:tr>
      <w:tr>
        <w:trPr>
          <w:trHeight w:val="20"/>
        </w:trPr>
        <w:tc>
          <w:tcPr>
            <w:tcW w:w="9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H – DERIVATIVE CONTRACTS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entered into derivative instruments to mitigate a portion of its exposure to adverse market changes of hydrocarbon prices and electricity prices. Swap instruments require a sale of the hedged commodity at a fixed price and a purchase at a floating market price, as defined in each instrument, to a counterparty.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Collar instruments are the simultaneous purchase of a put option or “floor” and sale of a call option or “ceiling” for the hedged commodity at different fixed prices. Under the terms of these collar instruments, the Company generally does not pay or receive cash at inception of the instruments. Derivative instruments not designated as hedges are “marked to market” at each period end and the increases or decreases in fair values are recorded to earnings. The following table summarizes our outstanding swaps and collars for crude oil WTI price, oil basis, natural gas Henry Hub price, Waha basis and Electric Reliability Council of Texas (“ERCOT”) - ERCOT West 345 kV hub derivative contracts as of June 30, 2024:</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16"/>
        </w:trPr>
        <w:tc>
          <w:tcPr>
            <w:tcW w:w="3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First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Second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Third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Fourth</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Accounting</w:t>
            </w:r>
          </w:p>
        </w:tc>
      </w:tr>
      <w:tr>
        <w:trPr>
          <w:trHeight w:val="245"/>
        </w:trPr>
        <w:tc>
          <w:tcPr>
            <w:tcW w:w="3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Derivative Contracts - Oil</w:t>
            </w: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Treatment</w:t>
            </w:r>
          </w:p>
        </w:tc>
      </w:tr>
      <w:tr>
        <w:trPr>
          <w:trHeight w:val="223"/>
        </w:trPr>
        <w:tc>
          <w:tcPr>
            <w:tcW w:w="43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r>
      <w:tr>
        <w:trPr>
          <w:trHeight w:val="194"/>
        </w:trPr>
        <w:tc>
          <w:tcPr>
            <w:tcW w:w="30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Oil Collars - NYMEX WTI</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80" w:type="dxa"/>
            <w:vAlign w:val="bottom"/>
          </w:tcPr>
          <w:p>
            <w:pPr>
              <w:jc w:val="center"/>
              <w:ind w:right="90"/>
              <w:spacing w:after="0" w:line="194" w:lineRule="exact"/>
              <w:rPr>
                <w:sz w:val="20"/>
                <w:szCs w:val="20"/>
                <w:color w:val="auto"/>
              </w:rPr>
            </w:pPr>
            <w:r>
              <w:rPr>
                <w:rFonts w:ascii="Times New Roman" w:cs="Times New Roman" w:eastAsia="Times New Roman" w:hAnsi="Times New Roman"/>
                <w:sz w:val="18"/>
                <w:szCs w:val="18"/>
                <w:color w:val="auto"/>
              </w:rPr>
              <w:t>Mark-to-Market</w:t>
            </w:r>
          </w:p>
        </w:tc>
      </w:tr>
      <w:tr>
        <w:trPr>
          <w:trHeight w:val="220"/>
        </w:trPr>
        <w:tc>
          <w:tcPr>
            <w:tcW w:w="3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4"/>
        </w:trPr>
        <w:tc>
          <w:tcPr>
            <w:tcW w:w="3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Volumes (MBbl)</w:t>
            </w:r>
          </w:p>
        </w:tc>
        <w:tc>
          <w:tcPr>
            <w:tcW w:w="2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0"/>
                <w:szCs w:val="20"/>
                <w:color w:val="auto"/>
              </w:rPr>
            </w:pP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3,588</w:t>
            </w:r>
          </w:p>
        </w:tc>
        <w:tc>
          <w:tcPr>
            <w:tcW w:w="20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8,004</w:t>
            </w:r>
          </w:p>
        </w:tc>
        <w:tc>
          <w:tcPr>
            <w:tcW w:w="1880" w:type="dxa"/>
            <w:vAlign w:val="bottom"/>
          </w:tcPr>
          <w:p>
            <w:pPr>
              <w:spacing w:after="0"/>
              <w:rPr>
                <w:sz w:val="20"/>
                <w:szCs w:val="20"/>
                <w:color w:val="auto"/>
              </w:rPr>
            </w:pPr>
          </w:p>
        </w:tc>
      </w:tr>
      <w:tr>
        <w:trPr>
          <w:trHeight w:val="216"/>
        </w:trPr>
        <w:tc>
          <w:tcPr>
            <w:tcW w:w="3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Weighted average ceiling price per Bbl</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89.34</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89.30</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89.32</w:t>
            </w:r>
          </w:p>
        </w:tc>
        <w:tc>
          <w:tcPr>
            <w:tcW w:w="1880" w:type="dxa"/>
            <w:vAlign w:val="bottom"/>
            <w:shd w:val="clear" w:color="auto" w:fill="CCEEFF"/>
          </w:tcPr>
          <w:p>
            <w:pPr>
              <w:spacing w:after="0"/>
              <w:rPr>
                <w:sz w:val="18"/>
                <w:szCs w:val="18"/>
                <w:color w:val="auto"/>
              </w:rPr>
            </w:pPr>
          </w:p>
        </w:tc>
      </w:tr>
      <w:tr>
        <w:trPr>
          <w:trHeight w:val="216"/>
        </w:trPr>
        <w:tc>
          <w:tcPr>
            <w:tcW w:w="3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floor price per Bbl</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62.19</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61.54</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61.90</w:t>
            </w:r>
          </w:p>
        </w:tc>
        <w:tc>
          <w:tcPr>
            <w:tcW w:w="1880" w:type="dxa"/>
            <w:vAlign w:val="bottom"/>
          </w:tcPr>
          <w:p>
            <w:pPr>
              <w:spacing w:after="0"/>
              <w:rPr>
                <w:sz w:val="18"/>
                <w:szCs w:val="18"/>
                <w:color w:val="auto"/>
              </w:rPr>
            </w:pPr>
          </w:p>
        </w:tc>
      </w:tr>
      <w:tr>
        <w:trPr>
          <w:trHeight w:val="216"/>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216"/>
        </w:trPr>
        <w:tc>
          <w:tcPr>
            <w:tcW w:w="3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Volumes (MBbl)</w:t>
            </w: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1,080</w:t>
            </w:r>
          </w:p>
        </w:tc>
        <w:tc>
          <w:tcPr>
            <w:tcW w:w="900" w:type="dxa"/>
            <w:vAlign w:val="bottom"/>
          </w:tcPr>
          <w:p>
            <w:pPr>
              <w:spacing w:after="0"/>
              <w:rPr>
                <w:sz w:val="18"/>
                <w:szCs w:val="18"/>
                <w:color w:val="auto"/>
              </w:rPr>
            </w:pP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1,080</w:t>
            </w:r>
          </w:p>
        </w:tc>
        <w:tc>
          <w:tcPr>
            <w:tcW w:w="1880" w:type="dxa"/>
            <w:vAlign w:val="bottom"/>
          </w:tcPr>
          <w:p>
            <w:pPr>
              <w:spacing w:after="0"/>
              <w:rPr>
                <w:sz w:val="18"/>
                <w:szCs w:val="18"/>
                <w:color w:val="auto"/>
              </w:rPr>
            </w:pPr>
          </w:p>
        </w:tc>
      </w:tr>
      <w:tr>
        <w:trPr>
          <w:trHeight w:val="216"/>
        </w:trPr>
        <w:tc>
          <w:tcPr>
            <w:tcW w:w="3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Weighted average ceiling price per Bbl</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89.53</w:t>
            </w: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89.53</w:t>
            </w:r>
          </w:p>
        </w:tc>
        <w:tc>
          <w:tcPr>
            <w:tcW w:w="1880" w:type="dxa"/>
            <w:vAlign w:val="bottom"/>
            <w:shd w:val="clear" w:color="auto" w:fill="CCEEFF"/>
          </w:tcPr>
          <w:p>
            <w:pPr>
              <w:spacing w:after="0"/>
              <w:rPr>
                <w:sz w:val="18"/>
                <w:szCs w:val="18"/>
                <w:color w:val="auto"/>
              </w:rPr>
            </w:pPr>
          </w:p>
        </w:tc>
      </w:tr>
      <w:tr>
        <w:trPr>
          <w:trHeight w:val="216"/>
        </w:trPr>
        <w:tc>
          <w:tcPr>
            <w:tcW w:w="3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floor price per Bbl</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60.00</w:t>
            </w: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60.00</w:t>
            </w:r>
          </w:p>
        </w:tc>
        <w:tc>
          <w:tcPr>
            <w:tcW w:w="1880" w:type="dxa"/>
            <w:vAlign w:val="bottom"/>
          </w:tcPr>
          <w:p>
            <w:pPr>
              <w:spacing w:after="0"/>
              <w:rPr>
                <w:sz w:val="18"/>
                <w:szCs w:val="18"/>
                <w:color w:val="auto"/>
              </w:rPr>
            </w:pPr>
          </w:p>
        </w:tc>
      </w:tr>
      <w:tr>
        <w:trPr>
          <w:trHeight w:val="216"/>
        </w:trPr>
        <w:tc>
          <w:tcPr>
            <w:tcW w:w="43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Oil Basis Swaps - NYMEX WTI Midland - Argus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3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Volumes (MBbl)</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3,404</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7,636</w:t>
            </w:r>
          </w:p>
        </w:tc>
        <w:tc>
          <w:tcPr>
            <w:tcW w:w="1880" w:type="dxa"/>
            <w:vAlign w:val="bottom"/>
            <w:shd w:val="clear" w:color="auto" w:fill="CCEEFF"/>
          </w:tcPr>
          <w:p>
            <w:pPr>
              <w:spacing w:after="0"/>
              <w:rPr>
                <w:sz w:val="18"/>
                <w:szCs w:val="18"/>
                <w:color w:val="auto"/>
              </w:rPr>
            </w:pPr>
          </w:p>
        </w:tc>
      </w:tr>
      <w:tr>
        <w:trPr>
          <w:trHeight w:val="216"/>
        </w:trPr>
        <w:tc>
          <w:tcPr>
            <w:tcW w:w="3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price per Bbl</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1.21</w:t>
            </w:r>
          </w:p>
        </w:tc>
        <w:tc>
          <w:tcPr>
            <w:tcW w:w="1880" w:type="dxa"/>
            <w:vAlign w:val="bottom"/>
          </w:tcPr>
          <w:p>
            <w:pPr>
              <w:spacing w:after="0"/>
              <w:rPr>
                <w:sz w:val="18"/>
                <w:szCs w:val="18"/>
                <w:color w:val="auto"/>
              </w:rPr>
            </w:pPr>
          </w:p>
        </w:tc>
      </w:tr>
      <w:tr>
        <w:trPr>
          <w:trHeight w:val="216"/>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216"/>
        </w:trPr>
        <w:tc>
          <w:tcPr>
            <w:tcW w:w="3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Volumes (MBbl)</w:t>
            </w: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900</w:t>
            </w:r>
          </w:p>
        </w:tc>
        <w:tc>
          <w:tcPr>
            <w:tcW w:w="900" w:type="dxa"/>
            <w:vAlign w:val="bottom"/>
          </w:tcPr>
          <w:p>
            <w:pPr>
              <w:spacing w:after="0"/>
              <w:rPr>
                <w:sz w:val="18"/>
                <w:szCs w:val="18"/>
                <w:color w:val="auto"/>
              </w:rPr>
            </w:pP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900</w:t>
            </w:r>
          </w:p>
        </w:tc>
        <w:tc>
          <w:tcPr>
            <w:tcW w:w="1880" w:type="dxa"/>
            <w:vAlign w:val="bottom"/>
          </w:tcPr>
          <w:p>
            <w:pPr>
              <w:spacing w:after="0"/>
              <w:rPr>
                <w:sz w:val="18"/>
                <w:szCs w:val="18"/>
                <w:color w:val="auto"/>
              </w:rPr>
            </w:pPr>
          </w:p>
        </w:tc>
      </w:tr>
      <w:tr>
        <w:trPr>
          <w:trHeight w:val="216"/>
        </w:trPr>
        <w:tc>
          <w:tcPr>
            <w:tcW w:w="3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price per Bbl</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w:t>
            </w: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1.22</w:t>
            </w:r>
          </w:p>
        </w:tc>
        <w:tc>
          <w:tcPr>
            <w:tcW w:w="1880" w:type="dxa"/>
            <w:vAlign w:val="bottom"/>
            <w:shd w:val="clear" w:color="auto" w:fill="CCEEFF"/>
          </w:tcPr>
          <w:p>
            <w:pPr>
              <w:spacing w:after="0"/>
              <w:rPr>
                <w:sz w:val="18"/>
                <w:szCs w:val="18"/>
                <w:color w:val="auto"/>
              </w:rPr>
            </w:pPr>
          </w:p>
        </w:tc>
      </w:tr>
      <w:tr>
        <w:trPr>
          <w:trHeight w:val="27"/>
        </w:trPr>
        <w:tc>
          <w:tcPr>
            <w:tcW w:w="30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First</w:t>
            </w: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Second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Third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Fourth</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Accounting</w:t>
            </w:r>
          </w:p>
        </w:tc>
      </w:tr>
      <w:tr>
        <w:trPr>
          <w:trHeight w:val="245"/>
        </w:trPr>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Derivative Contracts - Natural Gas</w:t>
            </w: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Treatment</w:t>
            </w:r>
          </w:p>
        </w:tc>
      </w:tr>
      <w:tr>
        <w:trPr>
          <w:trHeight w:val="223"/>
        </w:trPr>
        <w:tc>
          <w:tcPr>
            <w:tcW w:w="45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8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spacing w:after="0"/>
              <w:rPr>
                <w:sz w:val="19"/>
                <w:szCs w:val="19"/>
                <w:color w:val="auto"/>
              </w:rPr>
            </w:pPr>
          </w:p>
        </w:tc>
      </w:tr>
      <w:tr>
        <w:trPr>
          <w:trHeight w:val="194"/>
        </w:trPr>
        <w:tc>
          <w:tcPr>
            <w:tcW w:w="458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Natural Gas Price Swaps - NYMEX Henry Hub</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Mark-to-Market</w:t>
            </w:r>
          </w:p>
        </w:tc>
      </w:tr>
      <w:tr>
        <w:trPr>
          <w:trHeight w:val="220"/>
        </w:trPr>
        <w:tc>
          <w:tcPr>
            <w:tcW w:w="3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34"/>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Volumes (MMBtu)</w:t>
            </w: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20"/>
                <w:szCs w:val="20"/>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3,680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920</w:t>
            </w:r>
          </w:p>
        </w:tc>
        <w:tc>
          <w:tcPr>
            <w:tcW w:w="2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4,600</w:t>
            </w:r>
          </w:p>
        </w:tc>
        <w:tc>
          <w:tcPr>
            <w:tcW w:w="1940" w:type="dxa"/>
            <w:vAlign w:val="bottom"/>
          </w:tcPr>
          <w:p>
            <w:pPr>
              <w:spacing w:after="0"/>
              <w:rPr>
                <w:sz w:val="20"/>
                <w:szCs w:val="20"/>
                <w:color w:val="auto"/>
              </w:rPr>
            </w:pPr>
          </w:p>
        </w:tc>
      </w:tr>
      <w:tr>
        <w:trPr>
          <w:trHeight w:val="216"/>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price per MMBtu</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2.75</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2.90</w:t>
            </w:r>
          </w:p>
        </w:tc>
        <w:tc>
          <w:tcPr>
            <w:tcW w:w="1940" w:type="dxa"/>
            <w:vAlign w:val="bottom"/>
            <w:shd w:val="clear" w:color="auto" w:fill="CCEEFF"/>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Natural Gas Collars - NYMEX Henry Hub</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16"/>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Volumes (MMBtu)</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4,140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9,200</w:t>
            </w: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13,340</w:t>
            </w:r>
          </w:p>
        </w:tc>
        <w:tc>
          <w:tcPr>
            <w:tcW w:w="1940" w:type="dxa"/>
            <w:vAlign w:val="bottom"/>
          </w:tcPr>
          <w:p>
            <w:pPr>
              <w:spacing w:after="0"/>
              <w:rPr>
                <w:sz w:val="18"/>
                <w:szCs w:val="18"/>
                <w:color w:val="auto"/>
              </w:rPr>
            </w:pPr>
          </w:p>
        </w:tc>
      </w:tr>
      <w:tr>
        <w:trPr>
          <w:trHeight w:val="216"/>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ceiling price per MMBtu</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3.73</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3.80</w:t>
            </w:r>
          </w:p>
        </w:tc>
        <w:tc>
          <w:tcPr>
            <w:tcW w:w="1940" w:type="dxa"/>
            <w:vAlign w:val="bottom"/>
            <w:shd w:val="clear" w:color="auto" w:fill="CCEEFF"/>
          </w:tcPr>
          <w:p>
            <w:pPr>
              <w:spacing w:after="0"/>
              <w:rPr>
                <w:sz w:val="18"/>
                <w:szCs w:val="18"/>
                <w:color w:val="auto"/>
              </w:rPr>
            </w:pPr>
          </w:p>
        </w:tc>
      </w:tr>
      <w:tr>
        <w:trPr>
          <w:trHeight w:val="216"/>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floor price per MMBtu</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694"/>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2.72</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2.64</w:t>
            </w:r>
          </w:p>
        </w:tc>
        <w:tc>
          <w:tcPr>
            <w:tcW w:w="194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16"/>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Volumes (MMBtu)</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3,600</w:t>
            </w:r>
          </w:p>
        </w:tc>
        <w:tc>
          <w:tcPr>
            <w:tcW w:w="860" w:type="dxa"/>
            <w:vAlign w:val="bottom"/>
          </w:tcPr>
          <w:p>
            <w:pPr>
              <w:spacing w:after="0"/>
              <w:rPr>
                <w:sz w:val="18"/>
                <w:szCs w:val="18"/>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3,600</w:t>
            </w:r>
          </w:p>
        </w:tc>
        <w:tc>
          <w:tcPr>
            <w:tcW w:w="1940" w:type="dxa"/>
            <w:vAlign w:val="bottom"/>
          </w:tcPr>
          <w:p>
            <w:pPr>
              <w:spacing w:after="0"/>
              <w:rPr>
                <w:sz w:val="18"/>
                <w:szCs w:val="18"/>
                <w:color w:val="auto"/>
              </w:rPr>
            </w:pPr>
          </w:p>
        </w:tc>
      </w:tr>
      <w:tr>
        <w:trPr>
          <w:trHeight w:val="216"/>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ceiling price per MMBtu</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5.35</w:t>
            </w:r>
          </w:p>
        </w:tc>
        <w:tc>
          <w:tcPr>
            <w:tcW w:w="86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5.35</w:t>
            </w:r>
          </w:p>
        </w:tc>
        <w:tc>
          <w:tcPr>
            <w:tcW w:w="1940" w:type="dxa"/>
            <w:vAlign w:val="bottom"/>
            <w:shd w:val="clear" w:color="auto" w:fill="CCEEFF"/>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floor price per MMBtu</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2.94</w:t>
            </w:r>
          </w:p>
        </w:tc>
        <w:tc>
          <w:tcPr>
            <w:tcW w:w="860" w:type="dxa"/>
            <w:vAlign w:val="bottom"/>
          </w:tcPr>
          <w:p>
            <w:pPr>
              <w:jc w:val="right"/>
              <w:ind w:right="694"/>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2.94</w:t>
            </w:r>
          </w:p>
        </w:tc>
        <w:tc>
          <w:tcPr>
            <w:tcW w:w="194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Natural Gas Basis Swaps - Waha</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6"/>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Volumes (MMBtu)</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6,440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10,120</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16,560</w:t>
            </w:r>
          </w:p>
        </w:tc>
        <w:tc>
          <w:tcPr>
            <w:tcW w:w="1940" w:type="dxa"/>
            <w:vAlign w:val="bottom"/>
            <w:shd w:val="clear" w:color="auto" w:fill="CCEEFF"/>
          </w:tcPr>
          <w:p>
            <w:pPr>
              <w:spacing w:after="0"/>
              <w:rPr>
                <w:sz w:val="18"/>
                <w:szCs w:val="18"/>
                <w:color w:val="auto"/>
              </w:rPr>
            </w:pPr>
          </w:p>
        </w:tc>
      </w:tr>
      <w:tr>
        <w:trPr>
          <w:trHeight w:val="216"/>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price per MMBtu</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694"/>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(0.84)</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(0.80)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(0.82)</w:t>
            </w:r>
          </w:p>
        </w:tc>
        <w:tc>
          <w:tcPr>
            <w:tcW w:w="194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16"/>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Volumes (MMBtu)</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2,700</w:t>
            </w:r>
          </w:p>
        </w:tc>
        <w:tc>
          <w:tcPr>
            <w:tcW w:w="860" w:type="dxa"/>
            <w:vAlign w:val="bottom"/>
          </w:tcPr>
          <w:p>
            <w:pPr>
              <w:spacing w:after="0"/>
              <w:rPr>
                <w:sz w:val="18"/>
                <w:szCs w:val="18"/>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2,700</w:t>
            </w:r>
          </w:p>
        </w:tc>
        <w:tc>
          <w:tcPr>
            <w:tcW w:w="1940" w:type="dxa"/>
            <w:vAlign w:val="bottom"/>
          </w:tcPr>
          <w:p>
            <w:pPr>
              <w:spacing w:after="0"/>
              <w:rPr>
                <w:sz w:val="18"/>
                <w:szCs w:val="18"/>
                <w:color w:val="auto"/>
              </w:rPr>
            </w:pPr>
          </w:p>
        </w:tc>
      </w:tr>
      <w:tr>
        <w:trPr>
          <w:trHeight w:val="216"/>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price per MMBtu</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(0.45)</w:t>
            </w:r>
          </w:p>
        </w:tc>
        <w:tc>
          <w:tcPr>
            <w:tcW w:w="86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(0.45)</w:t>
            </w:r>
          </w:p>
        </w:tc>
        <w:tc>
          <w:tcPr>
            <w:tcW w:w="1940" w:type="dxa"/>
            <w:vAlign w:val="bottom"/>
            <w:shd w:val="clear" w:color="auto" w:fill="CCEEFF"/>
          </w:tcPr>
          <w:p>
            <w:pPr>
              <w:spacing w:after="0"/>
              <w:rPr>
                <w:sz w:val="18"/>
                <w:szCs w:val="18"/>
                <w:color w:val="auto"/>
              </w:rPr>
            </w:pPr>
          </w:p>
        </w:tc>
      </w:tr>
      <w:tr>
        <w:trPr>
          <w:trHeight w:val="27"/>
        </w:trPr>
        <w:tc>
          <w:tcPr>
            <w:tcW w:w="33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40" w:type="dxa"/>
            <w:vAlign w:val="bottom"/>
            <w:shd w:val="clear" w:color="auto" w:fill="000000"/>
          </w:tcPr>
          <w:p>
            <w:pPr>
              <w:spacing w:after="0"/>
              <w:rPr>
                <w:sz w:val="2"/>
                <w:szCs w:val="2"/>
                <w:color w:val="auto"/>
              </w:rPr>
            </w:pPr>
          </w:p>
        </w:tc>
      </w:tr>
      <w:tr>
        <w:trPr>
          <w:trHeight w:val="557"/>
        </w:trPr>
        <w:tc>
          <w:tcPr>
            <w:tcW w:w="3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18</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44"/>
        </w:trPr>
        <w:tc>
          <w:tcPr>
            <w:tcW w:w="33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7" w:right="339" w:bottom="144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First</w:t>
            </w:r>
          </w:p>
        </w:tc>
        <w:tc>
          <w:tcPr>
            <w:tcW w:w="16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Second</w:t>
            </w:r>
          </w:p>
        </w:tc>
        <w:tc>
          <w:tcPr>
            <w:tcW w:w="16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Third</w:t>
            </w:r>
          </w:p>
        </w:tc>
        <w:tc>
          <w:tcPr>
            <w:tcW w:w="16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Fourth</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Accounting</w:t>
            </w:r>
          </w:p>
        </w:tc>
      </w:tr>
      <w:tr>
        <w:trPr>
          <w:trHeight w:val="245"/>
        </w:trPr>
        <w:tc>
          <w:tcPr>
            <w:tcW w:w="2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Derivative Contracts - Electricity</w:t>
            </w: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Quarter</w:t>
            </w: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Treatment</w:t>
            </w:r>
          </w:p>
        </w:tc>
      </w:tr>
      <w:tr>
        <w:trPr>
          <w:trHeight w:val="223"/>
        </w:trPr>
        <w:tc>
          <w:tcPr>
            <w:tcW w:w="39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Derivatives designated as hedging instruments</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r>
      <w:tr>
        <w:trPr>
          <w:trHeight w:val="194"/>
        </w:trPr>
        <w:tc>
          <w:tcPr>
            <w:tcW w:w="7740" w:type="dxa"/>
            <w:vAlign w:val="bottom"/>
            <w:gridSpan w:val="1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Electricity - Electric Reliability Council of Texas ("ERCOT") - ERCOT West 345 kV Hub</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20" w:type="dxa"/>
            <w:vAlign w:val="bottom"/>
          </w:tcPr>
          <w:p>
            <w:pPr>
              <w:jc w:val="center"/>
              <w:ind w:right="90"/>
              <w:spacing w:after="0" w:line="194" w:lineRule="exact"/>
              <w:rPr>
                <w:sz w:val="20"/>
                <w:szCs w:val="20"/>
                <w:color w:val="auto"/>
              </w:rPr>
            </w:pPr>
            <w:r>
              <w:rPr>
                <w:rFonts w:ascii="Times New Roman" w:cs="Times New Roman" w:eastAsia="Times New Roman" w:hAnsi="Times New Roman"/>
                <w:sz w:val="18"/>
                <w:szCs w:val="18"/>
                <w:color w:val="auto"/>
                <w:w w:val="99"/>
              </w:rPr>
              <w:t>Cash flow hedges</w:t>
            </w:r>
          </w:p>
        </w:tc>
      </w:tr>
      <w:tr>
        <w:trPr>
          <w:trHeight w:val="220"/>
        </w:trPr>
        <w:tc>
          <w:tcPr>
            <w:tcW w:w="2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234"/>
        </w:trPr>
        <w:tc>
          <w:tcPr>
            <w:tcW w:w="2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Power Load Hedged (MWh)</w:t>
            </w:r>
          </w:p>
        </w:tc>
        <w:tc>
          <w:tcPr>
            <w:tcW w:w="2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178,848</w:t>
            </w:r>
          </w:p>
        </w:tc>
        <w:tc>
          <w:tcPr>
            <w:tcW w:w="16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154,560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333,408</w:t>
            </w:r>
          </w:p>
        </w:tc>
        <w:tc>
          <w:tcPr>
            <w:tcW w:w="2020" w:type="dxa"/>
            <w:vAlign w:val="bottom"/>
          </w:tcPr>
          <w:p>
            <w:pPr>
              <w:spacing w:after="0"/>
              <w:rPr>
                <w:sz w:val="20"/>
                <w:szCs w:val="20"/>
                <w:color w:val="auto"/>
              </w:rPr>
            </w:pPr>
          </w:p>
        </w:tc>
      </w:tr>
      <w:tr>
        <w:trPr>
          <w:trHeight w:val="198"/>
        </w:trPr>
        <w:tc>
          <w:tcPr>
            <w:tcW w:w="26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Weighted average swap price</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r>
      <w:tr>
        <w:trPr>
          <w:trHeight w:val="234"/>
        </w:trPr>
        <w:tc>
          <w:tcPr>
            <w:tcW w:w="2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($/MWh)</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48.80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40.85</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45.11</w:t>
            </w:r>
          </w:p>
        </w:tc>
        <w:tc>
          <w:tcPr>
            <w:tcW w:w="2020" w:type="dxa"/>
            <w:vAlign w:val="bottom"/>
            <w:shd w:val="clear" w:color="auto" w:fill="CCEEFF"/>
          </w:tcPr>
          <w:p>
            <w:pPr>
              <w:spacing w:after="0"/>
              <w:rPr>
                <w:sz w:val="20"/>
                <w:szCs w:val="20"/>
                <w:color w:val="auto"/>
              </w:rPr>
            </w:pP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2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Power Load Hedged (MWh)</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151,200</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131,040</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154,580</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132,480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569,300</w:t>
            </w:r>
          </w:p>
        </w:tc>
        <w:tc>
          <w:tcPr>
            <w:tcW w:w="2020" w:type="dxa"/>
            <w:vAlign w:val="bottom"/>
            <w:shd w:val="clear" w:color="auto" w:fill="CCEEFF"/>
          </w:tcPr>
          <w:p>
            <w:pPr>
              <w:spacing w:after="0"/>
              <w:rPr>
                <w:sz w:val="18"/>
                <w:szCs w:val="18"/>
                <w:color w:val="auto"/>
              </w:rPr>
            </w:pPr>
          </w:p>
        </w:tc>
      </w:tr>
      <w:tr>
        <w:trPr>
          <w:trHeight w:val="198"/>
        </w:trPr>
        <w:tc>
          <w:tcPr>
            <w:tcW w:w="26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Weighted average swap price</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34"/>
        </w:trPr>
        <w:tc>
          <w:tcPr>
            <w:tcW w:w="2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($/MWh)</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40.85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40.30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46.76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40.30</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42.20</w:t>
            </w:r>
          </w:p>
        </w:tc>
        <w:tc>
          <w:tcPr>
            <w:tcW w:w="2020" w:type="dxa"/>
            <w:vAlign w:val="bottom"/>
          </w:tcPr>
          <w:p>
            <w:pPr>
              <w:spacing w:after="0"/>
              <w:rPr>
                <w:sz w:val="20"/>
                <w:szCs w:val="20"/>
                <w:color w:val="auto"/>
              </w:rPr>
            </w:pPr>
          </w:p>
        </w:tc>
      </w:tr>
      <w:tr>
        <w:trPr>
          <w:trHeight w:val="216"/>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r>
      <w:tr>
        <w:trPr>
          <w:trHeight w:val="216"/>
        </w:trPr>
        <w:tc>
          <w:tcPr>
            <w:tcW w:w="2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Power Load Hedged (MWh)</w:t>
            </w: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129,580</w:t>
            </w:r>
          </w:p>
        </w:tc>
        <w:tc>
          <w:tcPr>
            <w:tcW w:w="1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129,580</w:t>
            </w:r>
          </w:p>
        </w:tc>
        <w:tc>
          <w:tcPr>
            <w:tcW w:w="2020" w:type="dxa"/>
            <w:vAlign w:val="bottom"/>
          </w:tcPr>
          <w:p>
            <w:pPr>
              <w:spacing w:after="0"/>
              <w:rPr>
                <w:sz w:val="18"/>
                <w:szCs w:val="18"/>
                <w:color w:val="auto"/>
              </w:rPr>
            </w:pPr>
          </w:p>
        </w:tc>
      </w:tr>
      <w:tr>
        <w:trPr>
          <w:trHeight w:val="198"/>
        </w:trPr>
        <w:tc>
          <w:tcPr>
            <w:tcW w:w="26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Weighted average swap price</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r>
      <w:tr>
        <w:trPr>
          <w:trHeight w:val="234"/>
        </w:trPr>
        <w:tc>
          <w:tcPr>
            <w:tcW w:w="2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($/MWh)</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40.30</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40.30</w:t>
            </w:r>
          </w:p>
        </w:tc>
        <w:tc>
          <w:tcPr>
            <w:tcW w:w="2020" w:type="dxa"/>
            <w:vAlign w:val="bottom"/>
            <w:shd w:val="clear" w:color="auto" w:fill="CCEEFF"/>
          </w:tcPr>
          <w:p>
            <w:pPr>
              <w:spacing w:after="0"/>
              <w:rPr>
                <w:sz w:val="20"/>
                <w:szCs w:val="20"/>
                <w:color w:val="auto"/>
              </w:rPr>
            </w:pPr>
          </w:p>
        </w:tc>
      </w:tr>
      <w:tr>
        <w:trPr>
          <w:trHeight w:val="27"/>
        </w:trPr>
        <w:tc>
          <w:tcPr>
            <w:tcW w:w="26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Gains and Losses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gains and losses on our derivative instruments are a function of fluctuations in the underlying commodity index prices as compared to the contracted prices and the monthly settlements (if any) of the instruments. Certain of our hedge contracts have been designated as cash flow hedges and as a result, the change in the fair value is reported in other comprehensive income (loss) and is reclassified to earnings when the forecasted transaction affects earnings. In addition, the Company has elected to not designate certain of our derivatives as hedging instruments for accounting purposes and, therefore, the Company does not apply hedge accounting treatment on these derivative instruments. Consequently, changes in the fair value of our oil and natural derivative instruments not designed as hedges and cash settlements on the instruments are included as a component of operating costs and expenses as either a net gain or loss on derivative instruments. Cash settlements of our contracts are included in cash flows from operating activities in our statement of cash flows. The following table presents the components of the net gain (loss) on derivative instruments for the periods indicated (dollars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100" w:type="dxa"/>
            <w:vAlign w:val="bottom"/>
          </w:tcPr>
          <w:p>
            <w:pPr>
              <w:spacing w:after="0"/>
              <w:rPr>
                <w:sz w:val="21"/>
                <w:szCs w:val="21"/>
                <w:color w:val="auto"/>
              </w:rPr>
            </w:pPr>
          </w:p>
        </w:tc>
        <w:tc>
          <w:tcPr>
            <w:tcW w:w="446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Location of Gain (Loss)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2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100" w:type="dxa"/>
            <w:vAlign w:val="bottom"/>
            <w:tcBorders>
              <w:bottom w:val="single" w:sz="8" w:color="auto"/>
            </w:tcBorders>
          </w:tcPr>
          <w:p>
            <w:pPr>
              <w:spacing w:after="0"/>
              <w:rPr>
                <w:sz w:val="19"/>
                <w:szCs w:val="19"/>
                <w:color w:val="auto"/>
              </w:rPr>
            </w:pPr>
          </w:p>
        </w:tc>
        <w:tc>
          <w:tcPr>
            <w:tcW w:w="446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Recognized in Income on Derivative</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Gain (loss) on derivative instruments, net</w:t>
            </w:r>
          </w:p>
        </w:tc>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Oil contracts</w:t>
            </w:r>
          </w:p>
        </w:tc>
        <w:tc>
          <w:tcPr>
            <w:tcW w:w="44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Gain (loss) from derivative instruments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Natural gas contracts</w:t>
            </w:r>
          </w:p>
        </w:tc>
        <w:tc>
          <w:tcPr>
            <w:tcW w:w="44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Gain (loss) from derivative instruments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r>
      <w:tr>
        <w:trPr>
          <w:trHeight w:val="27"/>
        </w:trPr>
        <w:tc>
          <w:tcPr>
            <w:tcW w:w="85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gain (loss) from derivative instruments not designated as hedges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Electricity contracts</w:t>
            </w:r>
          </w:p>
        </w:tc>
        <w:tc>
          <w:tcPr>
            <w:tcW w:w="44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Lease operating expense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1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6"/>
        </w:trPr>
        <w:tc>
          <w:tcPr>
            <w:tcW w:w="4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4100" w:type="dxa"/>
            <w:vAlign w:val="bottom"/>
            <w:tcBorders>
              <w:top w:val="single" w:sz="8" w:color="CCEEFF"/>
            </w:tcBorders>
            <w:shd w:val="clear" w:color="auto" w:fill="CCEEFF"/>
          </w:tcPr>
          <w:p>
            <w:pPr>
              <w:spacing w:after="0" w:line="20" w:lineRule="exact"/>
              <w:rPr>
                <w:sz w:val="1"/>
                <w:szCs w:val="1"/>
                <w:color w:val="auto"/>
              </w:rPr>
            </w:pPr>
          </w:p>
        </w:tc>
        <w:tc>
          <w:tcPr>
            <w:tcW w:w="4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represents our net cash receipts from (payments on) derivatives for the periods presented (dollars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80" w:type="dxa"/>
            <w:vAlign w:val="bottom"/>
          </w:tcPr>
          <w:p>
            <w:pPr>
              <w:spacing w:after="0"/>
              <w:rPr>
                <w:sz w:val="21"/>
                <w:szCs w:val="21"/>
                <w:color w:val="auto"/>
              </w:rPr>
            </w:pPr>
          </w:p>
        </w:tc>
        <w:tc>
          <w:tcPr>
            <w:tcW w:w="388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Location of Gain (Loss)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2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680" w:type="dxa"/>
            <w:vAlign w:val="bottom"/>
            <w:tcBorders>
              <w:bottom w:val="single" w:sz="8" w:color="auto"/>
            </w:tcBorders>
          </w:tcPr>
          <w:p>
            <w:pPr>
              <w:spacing w:after="0"/>
              <w:rPr>
                <w:sz w:val="19"/>
                <w:szCs w:val="19"/>
                <w:color w:val="auto"/>
              </w:rPr>
            </w:pPr>
          </w:p>
        </w:tc>
        <w:tc>
          <w:tcPr>
            <w:tcW w:w="388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Recognized in Income on Derivative</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receipts (payments) on derivative instruments, net:</w:t>
            </w:r>
          </w:p>
        </w:tc>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Oil contracts</w:t>
            </w:r>
          </w:p>
        </w:tc>
        <w:tc>
          <w:tcPr>
            <w:tcW w:w="3880" w:type="dxa"/>
            <w:vAlign w:val="bottom"/>
            <w:shd w:val="clear" w:color="auto" w:fill="CCEEFF"/>
          </w:tcPr>
          <w:p>
            <w:pPr>
              <w:jc w:val="center"/>
              <w:ind w:right="310"/>
              <w:spacing w:after="0"/>
              <w:rPr>
                <w:sz w:val="20"/>
                <w:szCs w:val="20"/>
                <w:color w:val="auto"/>
              </w:rPr>
            </w:pPr>
            <w:r>
              <w:rPr>
                <w:rFonts w:ascii="Times New Roman" w:cs="Times New Roman" w:eastAsia="Times New Roman" w:hAnsi="Times New Roman"/>
                <w:sz w:val="18"/>
                <w:szCs w:val="18"/>
                <w:color w:val="auto"/>
                <w:w w:val="99"/>
              </w:rPr>
              <w:t>Gain (loss) from derivative instruments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Natural gas contracts</w:t>
            </w:r>
          </w:p>
        </w:tc>
        <w:tc>
          <w:tcPr>
            <w:tcW w:w="388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Gain (loss) from derivative instruments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8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cash receipts (payments) on derivative not designated as hedges</w:t>
            </w: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r>
      <w:tr>
        <w:trPr>
          <w:trHeight w:val="223"/>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Electricity contracts</w:t>
            </w:r>
          </w:p>
        </w:tc>
        <w:tc>
          <w:tcPr>
            <w:tcW w:w="388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Lease operating expense</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effect of our derivative instruments designated as cash flow hedges on our Consolidated Statements of Operations and Comprehensive Income (Loss) for the periods presented.</w:t>
      </w:r>
    </w:p>
    <w:p>
      <w:pPr>
        <w:spacing w:after="0" w:line="158"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8"/>
          <w:szCs w:val="18"/>
          <w:b w:val="1"/>
          <w:bCs w:val="1"/>
          <w:color w:val="auto"/>
        </w:rPr>
        <w:t>Change in Value Recognized in Other</w:t>
      </w:r>
    </w:p>
    <w:p>
      <w:pPr>
        <w:spacing w:after="0" w:line="31"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Comprehensive Income (Loss) on</w:t>
      </w:r>
    </w:p>
    <w:p>
      <w:pPr>
        <w:spacing w:after="0" w:line="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Derivatives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300" w:type="dxa"/>
            <w:vAlign w:val="bottom"/>
          </w:tcPr>
          <w:p>
            <w:pPr>
              <w:spacing w:after="0"/>
              <w:rPr>
                <w:sz w:val="17"/>
                <w:szCs w:val="17"/>
                <w:color w:val="auto"/>
              </w:rPr>
            </w:pPr>
          </w:p>
        </w:tc>
        <w:tc>
          <w:tcPr>
            <w:tcW w:w="2600" w:type="dxa"/>
            <w:vAlign w:val="bottom"/>
            <w:tcBorders>
              <w:top w:val="single" w:sz="8" w:color="auto"/>
            </w:tcBorders>
            <w:gridSpan w:val="3"/>
          </w:tcPr>
          <w:p>
            <w:pPr>
              <w:jc w:val="right"/>
              <w:ind w:right="50"/>
              <w:spacing w:after="0" w:line="201" w:lineRule="exact"/>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8"/>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Derivative in Cash Flow Hedging Relationships</w:t>
            </w:r>
          </w:p>
        </w:tc>
        <w:tc>
          <w:tcPr>
            <w:tcW w:w="1020" w:type="dxa"/>
            <w:vAlign w:val="bottom"/>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Pr>
          <w:p>
            <w:pPr>
              <w:spacing w:after="0"/>
              <w:rPr>
                <w:sz w:val="20"/>
                <w:szCs w:val="20"/>
                <w:color w:val="auto"/>
              </w:rPr>
            </w:pP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Commodity derivatives - Electricity, net</w:t>
            </w:r>
          </w:p>
        </w:tc>
        <w:tc>
          <w:tcPr>
            <w:tcW w:w="102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1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34"/>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Pr>
          <w:p>
            <w:pPr>
              <w:jc w:val="right"/>
              <w:ind w:right="853"/>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1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Derivative Fair Value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derivative contracts are carried at their fair value on our balance sheet using Level 2 inputs and are subject to enforceable master netting arrangements, which allow the Company to offset recognized asset and liability fair value amounts on contracts with the same counterparty. Our accounting policy is to not offset asset and liability positions in our balance sheets where applicable. The following tables present the gross amounts and classifications of our derivative assets and liabilities as of June 30, 2024, and December 31, 2023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As of June 30, 2024</w:t>
            </w:r>
          </w:p>
        </w:tc>
        <w:tc>
          <w:tcPr>
            <w:tcW w:w="2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598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673"/>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32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98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Crude oil contracts</w:t>
            </w:r>
          </w:p>
        </w:tc>
        <w:tc>
          <w:tcPr>
            <w:tcW w:w="86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Natural gas contracts</w:t>
            </w:r>
          </w:p>
        </w:tc>
        <w:tc>
          <w:tcPr>
            <w:tcW w:w="8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90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8"/>
                <w:szCs w:val="18"/>
                <w:color w:val="auto"/>
              </w:rPr>
            </w:pP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Electricity price swaps</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10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98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gross amounts presented in the balance sheet</w:t>
            </w:r>
          </w:p>
        </w:tc>
        <w:tc>
          <w:tcPr>
            <w:tcW w:w="860" w:type="dxa"/>
            <w:vAlign w:val="bottom"/>
          </w:tcPr>
          <w:p>
            <w:pPr>
              <w:jc w:val="right"/>
              <w:ind w:right="694"/>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tcPr>
          <w:p>
            <w:pPr>
              <w:spacing w:after="0"/>
              <w:rPr>
                <w:sz w:val="18"/>
                <w:szCs w:val="18"/>
                <w:color w:val="auto"/>
              </w:rPr>
            </w:pPr>
          </w:p>
        </w:tc>
        <w:tc>
          <w:tcPr>
            <w:tcW w:w="940" w:type="dxa"/>
            <w:vAlign w:val="bottom"/>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88"/>
              </w:rPr>
              <w:t>13</w:t>
            </w: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gross amount offset in the balance sheet</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98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amounts</w:t>
            </w:r>
          </w:p>
        </w:tc>
        <w:tc>
          <w:tcPr>
            <w:tcW w:w="860" w:type="dxa"/>
            <w:vAlign w:val="bottom"/>
          </w:tcPr>
          <w:p>
            <w:pPr>
              <w:jc w:val="right"/>
              <w:ind w:right="694"/>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tcPr>
          <w:p>
            <w:pPr>
              <w:spacing w:after="0"/>
              <w:rPr>
                <w:sz w:val="18"/>
                <w:szCs w:val="18"/>
                <w:color w:val="auto"/>
              </w:rPr>
            </w:pPr>
          </w:p>
        </w:tc>
        <w:tc>
          <w:tcPr>
            <w:tcW w:w="940" w:type="dxa"/>
            <w:vAlign w:val="bottom"/>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88"/>
              </w:rPr>
              <w:t>13</w:t>
            </w: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9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2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598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733"/>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30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98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Crude oil contracts</w:t>
            </w:r>
          </w:p>
        </w:tc>
        <w:tc>
          <w:tcPr>
            <w:tcW w:w="86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33"/>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Natural gas contracts</w:t>
            </w:r>
          </w:p>
        </w:tc>
        <w:tc>
          <w:tcPr>
            <w:tcW w:w="8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90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Electricity price swaps</w:t>
            </w:r>
          </w:p>
        </w:tc>
        <w:tc>
          <w:tcPr>
            <w:tcW w:w="8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w:t>
            </w:r>
          </w:p>
        </w:tc>
        <w:tc>
          <w:tcPr>
            <w:tcW w:w="10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9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9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598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gross amounts presented in the balance sheet</w:t>
            </w:r>
          </w:p>
        </w:tc>
        <w:tc>
          <w:tcPr>
            <w:tcW w:w="860" w:type="dxa"/>
            <w:vAlign w:val="bottom"/>
          </w:tcPr>
          <w:p>
            <w:pPr>
              <w:jc w:val="right"/>
              <w:ind w:right="694"/>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60" w:type="dxa"/>
            <w:vAlign w:val="bottom"/>
          </w:tcPr>
          <w:p>
            <w:pPr>
              <w:spacing w:after="0"/>
              <w:rPr>
                <w:sz w:val="18"/>
                <w:szCs w:val="18"/>
                <w:color w:val="auto"/>
              </w:rPr>
            </w:pPr>
          </w:p>
        </w:tc>
        <w:tc>
          <w:tcPr>
            <w:tcW w:w="1000" w:type="dxa"/>
            <w:vAlign w:val="bottom"/>
          </w:tcPr>
          <w:p>
            <w:pPr>
              <w:jc w:val="right"/>
              <w:ind w:right="833"/>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gross amount offset in the balance sheet</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98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amounts</w:t>
            </w:r>
          </w:p>
        </w:tc>
        <w:tc>
          <w:tcPr>
            <w:tcW w:w="860" w:type="dxa"/>
            <w:vAlign w:val="bottom"/>
          </w:tcPr>
          <w:p>
            <w:pPr>
              <w:jc w:val="right"/>
              <w:ind w:right="694"/>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60" w:type="dxa"/>
            <w:vAlign w:val="bottom"/>
          </w:tcPr>
          <w:p>
            <w:pPr>
              <w:spacing w:after="0"/>
              <w:rPr>
                <w:sz w:val="18"/>
                <w:szCs w:val="18"/>
                <w:color w:val="auto"/>
              </w:rPr>
            </w:pPr>
          </w:p>
        </w:tc>
        <w:tc>
          <w:tcPr>
            <w:tcW w:w="1000" w:type="dxa"/>
            <w:vAlign w:val="bottom"/>
          </w:tcPr>
          <w:p>
            <w:pPr>
              <w:jc w:val="right"/>
              <w:ind w:right="833"/>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
        </w:trPr>
        <w:tc>
          <w:tcPr>
            <w:tcW w:w="59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Accumulated other comprehensive income (loss) primarily reflects cumulative gain or loss on derivative instruments designated and qualified as cash flow hedges from inception less gains or losses previously reclassified from accumulated other comprehensive income (loss) into earnings. Gain or loss amounts related to cash flow hedges recorded in accumulated other comprehensive income (loss) are reclassified to earnings in the same period(s) in which the underlying hedge forecasted transactions affect earnings. If it becomes probable that a forecasted transaction will not occur, the related net gain or loss in accumulated other comprehensive income (loss) is immediately reclassified into earnings. The following tables present the components of accumulated other comprehensive income (loss) as reported on the Consolidated Balance Sheet at the dates indicated:</w:t>
      </w:r>
    </w:p>
    <w:p>
      <w:pPr>
        <w:sectPr>
          <w:pgSz w:w="11900" w:h="16838" w:orient="portrait"/>
          <w:cols w:equalWidth="0" w:num="1">
            <w:col w:w="11240"/>
          </w:cols>
          <w:pgMar w:left="320" w:top="117" w:right="339" w:bottom="1440" w:gutter="0" w:footer="0" w:header="0"/>
        </w:sect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06374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6374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comprehensive income for period, before reclassifications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Reclassification of losses (gains) to net income during period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June 30, 2024</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I – COMMITMENTS AND CONTINGENCIES</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left="95"/>
        <w:spacing w:after="0"/>
        <w:rPr>
          <w:sz w:val="20"/>
          <w:szCs w:val="20"/>
          <w:color w:val="auto"/>
        </w:rPr>
      </w:pPr>
      <w:r>
        <w:rPr>
          <w:rFonts w:ascii="Times New Roman" w:cs="Times New Roman" w:eastAsia="Times New Roman" w:hAnsi="Times New Roman"/>
          <w:sz w:val="18"/>
          <w:szCs w:val="18"/>
          <w:b w:val="1"/>
          <w:bCs w:val="1"/>
          <w:color w:val="auto"/>
        </w:rPr>
        <w:t>Commodity</w:t>
      </w:r>
    </w:p>
    <w:p>
      <w:pPr>
        <w:spacing w:after="0" w:line="31" w:lineRule="exact"/>
        <w:rPr>
          <w:sz w:val="20"/>
          <w:szCs w:val="20"/>
          <w:color w:val="auto"/>
        </w:rPr>
      </w:pPr>
    </w:p>
    <w:p>
      <w:pPr>
        <w:ind w:left="115"/>
        <w:spacing w:after="0"/>
        <w:rPr>
          <w:sz w:val="20"/>
          <w:szCs w:val="20"/>
          <w:color w:val="auto"/>
        </w:rPr>
      </w:pPr>
      <w:r>
        <w:rPr>
          <w:rFonts w:ascii="Times New Roman" w:cs="Times New Roman" w:eastAsia="Times New Roman" w:hAnsi="Times New Roman"/>
          <w:sz w:val="18"/>
          <w:szCs w:val="18"/>
          <w:b w:val="1"/>
          <w:bCs w:val="1"/>
          <w:color w:val="auto"/>
        </w:rPr>
        <w:t>Derivatives</w:t>
      </w:r>
    </w:p>
    <w:p>
      <w:pPr>
        <w:spacing w:after="0" w:line="18" w:lineRule="exact"/>
        <w:rPr>
          <w:sz w:val="20"/>
          <w:szCs w:val="20"/>
          <w:color w:val="auto"/>
        </w:rPr>
      </w:pPr>
    </w:p>
    <w:p>
      <w:pPr>
        <w:ind w:left="935" w:hanging="935"/>
        <w:spacing w:after="0"/>
        <w:tabs>
          <w:tab w:leader="none" w:pos="9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w:t>
      </w:r>
    </w:p>
    <w:p>
      <w:pPr>
        <w:spacing w:after="0" w:line="27" w:lineRule="exact"/>
        <w:rPr>
          <w:rFonts w:ascii="Times New Roman" w:cs="Times New Roman" w:eastAsia="Times New Roman" w:hAnsi="Times New Roman"/>
          <w:sz w:val="18"/>
          <w:szCs w:val="18"/>
          <w:color w:val="auto"/>
        </w:rPr>
      </w:pPr>
    </w:p>
    <w:p>
      <w:pPr>
        <w:ind w:left="101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p>
    <w:p>
      <w:pPr>
        <w:spacing w:after="0" w:line="9" w:lineRule="exact"/>
        <w:rPr>
          <w:rFonts w:ascii="Times New Roman" w:cs="Times New Roman" w:eastAsia="Times New Roman" w:hAnsi="Times New Roman"/>
          <w:sz w:val="18"/>
          <w:szCs w:val="18"/>
          <w:color w:val="auto"/>
        </w:rPr>
      </w:pPr>
    </w:p>
    <w:p>
      <w:pPr>
        <w:ind w:left="101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18" w:lineRule="exact"/>
        <w:rPr>
          <w:sz w:val="20"/>
          <w:szCs w:val="20"/>
          <w:color w:val="auto"/>
        </w:rPr>
      </w:pPr>
    </w:p>
    <w:p>
      <w:pPr>
        <w:ind w:left="935" w:hanging="935"/>
        <w:spacing w:after="0"/>
        <w:tabs>
          <w:tab w:leader="none" w:pos="9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0294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29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43180</wp:posOffset>
            </wp:positionV>
            <wp:extent cx="70294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681" w:lineRule="exact"/>
        <w:rPr>
          <w:sz w:val="20"/>
          <w:szCs w:val="20"/>
          <w:color w:val="auto"/>
        </w:rPr>
      </w:pPr>
    </w:p>
    <w:p>
      <w:pPr>
        <w:sectPr>
          <w:pgSz w:w="11900" w:h="16838" w:orient="portrait"/>
          <w:cols w:equalWidth="0" w:num="2">
            <w:col w:w="9305" w:space="720"/>
            <w:col w:w="1215"/>
          </w:cols>
          <w:pgMar w:left="320" w:top="117" w:right="339" w:bottom="1440" w:gutter="0" w:footer="0" w:header="0"/>
          <w:type w:val="continuous"/>
        </w:sectPr>
      </w:pPr>
    </w:p>
    <w:p>
      <w:pPr>
        <w:spacing w:after="0" w:line="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party to proceedings and claims incidental to our business, including mineral trespass, oil and natural gas lease related title termination, expiration and top leases, unauthorized land usage, breach of contract, property damage, unpaid liabilities and declaratory judgment alleging breach of contract. While many of these other matters involve inherent uncertainty, the Company believes that the liability, if any, ultimately incurred with respect to such other proceedings and claims will not have a material adverse effect on our consolidated financial position as a whole or on our liquidity, capital resources or future results of operations and comprehensive income (loss). The Company will continue to evaluate proceedings and claims involving the Company on a regular basis and will establish and adjust any reserves as appropriate to reflect our assessment of the then current status of the matters.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contractual obligations include long-term debt, asset retirement obligations, derivative liabilities, firm transportation commitments, purchase commitments, drilling and completion, compressor and other commitments. At June 30, 2024, the Company had the following contractual obligations and material commitments (dollars in millions):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245"/>
        </w:trPr>
        <w:tc>
          <w:tcPr>
            <w:tcW w:w="4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9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More than 5</w:t>
            </w:r>
          </w:p>
        </w:tc>
        <w:tc>
          <w:tcPr>
            <w:tcW w:w="100" w:type="dxa"/>
            <w:vAlign w:val="bottom"/>
          </w:tcPr>
          <w:p>
            <w:pPr>
              <w:spacing w:after="0"/>
              <w:rPr>
                <w:sz w:val="16"/>
                <w:szCs w:val="16"/>
                <w:color w:val="auto"/>
              </w:rPr>
            </w:pPr>
          </w:p>
        </w:tc>
      </w:tr>
      <w:tr>
        <w:trPr>
          <w:trHeight w:val="245"/>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tc>
        <w:tc>
          <w:tcPr>
            <w:tcW w:w="240" w:type="dxa"/>
            <w:vAlign w:val="bottom"/>
          </w:tcPr>
          <w:p>
            <w:pPr>
              <w:spacing w:after="0"/>
              <w:rPr>
                <w:sz w:val="21"/>
                <w:szCs w:val="21"/>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1 Year or Less</w:t>
            </w:r>
          </w:p>
        </w:tc>
        <w:tc>
          <w:tcPr>
            <w:tcW w:w="140" w:type="dxa"/>
            <w:vAlign w:val="bottom"/>
          </w:tcPr>
          <w:p>
            <w:pPr>
              <w:spacing w:after="0"/>
              <w:rPr>
                <w:sz w:val="21"/>
                <w:szCs w:val="21"/>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2-3 Years</w:t>
            </w:r>
          </w:p>
        </w:tc>
        <w:tc>
          <w:tcPr>
            <w:tcW w:w="160" w:type="dxa"/>
            <w:vAlign w:val="bottom"/>
          </w:tcPr>
          <w:p>
            <w:pPr>
              <w:spacing w:after="0"/>
              <w:rPr>
                <w:sz w:val="21"/>
                <w:szCs w:val="21"/>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4-5 Years</w:t>
            </w:r>
          </w:p>
        </w:tc>
        <w:tc>
          <w:tcPr>
            <w:tcW w:w="220" w:type="dxa"/>
            <w:vAlign w:val="bottom"/>
          </w:tcPr>
          <w:p>
            <w:pPr>
              <w:spacing w:after="0"/>
              <w:rPr>
                <w:sz w:val="21"/>
                <w:szCs w:val="21"/>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Years</w:t>
            </w:r>
          </w:p>
        </w:tc>
      </w:tr>
      <w:tr>
        <w:trPr>
          <w:trHeight w:val="216"/>
        </w:trPr>
        <w:tc>
          <w:tcPr>
            <w:tcW w:w="4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 principal (1)</w:t>
            </w: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24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 - interest (1)</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190</w:t>
            </w:r>
          </w:p>
        </w:tc>
        <w:tc>
          <w:tcPr>
            <w:tcW w:w="4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retirement obligations (2)</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272</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Transportation Service Agreement (3)</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 commitments (4)</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106</w:t>
            </w:r>
          </w:p>
        </w:tc>
        <w:tc>
          <w:tcPr>
            <w:tcW w:w="4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Drilling and completion commitments (5)</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Compressor commitments (6)</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128</w:t>
            </w:r>
          </w:p>
        </w:tc>
        <w:tc>
          <w:tcPr>
            <w:tcW w:w="4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commitments (7)</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24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949</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w:t>
            </w:r>
          </w:p>
        </w:tc>
      </w:tr>
      <w:tr>
        <w:trPr>
          <w:trHeight w:val="21"/>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500" w:hanging="492"/>
        <w:spacing w:after="0" w:line="266"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interest and commitment payments presented above includes the accrued interest payable on our long-term debt as of June 30, 2024 as well as future payments calculated using the long-term debt’s fixed rates, stated maturity dates and principal amounts outstanding as of June 30, 2024. See </w:t>
      </w:r>
      <w:r>
        <w:rPr>
          <w:rFonts w:ascii="Times New Roman" w:cs="Times New Roman" w:eastAsia="Times New Roman" w:hAnsi="Times New Roman"/>
          <w:sz w:val="18"/>
          <w:szCs w:val="18"/>
          <w:b w:val="1"/>
          <w:bCs w:val="1"/>
          <w:color w:val="auto"/>
        </w:rPr>
        <w:t xml:space="preserve">Note E - Debt </w:t>
      </w:r>
      <w:r>
        <w:rPr>
          <w:rFonts w:ascii="Times New Roman" w:cs="Times New Roman" w:eastAsia="Times New Roman" w:hAnsi="Times New Roman"/>
          <w:sz w:val="18"/>
          <w:szCs w:val="18"/>
          <w:color w:val="auto"/>
        </w:rPr>
        <w:t>to the consolidated financial statements for additional information regarding debt.</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costs related to expected oil and natural gas property abandonments related to producing properties by period, net of any future accretion.</w:t>
      </w:r>
    </w:p>
    <w:p>
      <w:pPr>
        <w:spacing w:after="0" w:line="161"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 firm transportation agreement for dedicated capacity on a pipeline that connects with regional gathering systems and transports oil to the Gulf Coast. We have a long-term 21,000 Bbl per day average commitment.</w:t>
      </w:r>
    </w:p>
    <w:p>
      <w:pPr>
        <w:spacing w:after="0" w:line="161"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entered into purchase agreements for oil country tubular goods (“OCTG”) and materials that are expected to be used for the development of the Company’s oil and natural gas properties. These agreements are at fixed prices and quantities of such materials during 2024.</w:t>
      </w:r>
    </w:p>
    <w:p>
      <w:pPr>
        <w:spacing w:after="0" w:line="161" w:lineRule="exact"/>
        <w:rPr>
          <w:rFonts w:ascii="Times New Roman" w:cs="Times New Roman" w:eastAsia="Times New Roman" w:hAnsi="Times New Roman"/>
          <w:sz w:val="18"/>
          <w:szCs w:val="18"/>
          <w:color w:val="auto"/>
        </w:rPr>
      </w:pPr>
    </w:p>
    <w:p>
      <w:pPr>
        <w:jc w:val="both"/>
        <w:ind w:left="500" w:hanging="492"/>
        <w:spacing w:after="0" w:line="256"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as of June 30, 2024, has entered into drilling rig and completion contracts with various third-party parties in the ordinary course of business to ensure rig and frac crew availability to complete the Company’s drilling and completions projects. As a result, certain of the Company's rig commitments being long-term, the Company has recognized a right-of-use assets and liabilities under ASC 842. See </w:t>
      </w:r>
      <w:r>
        <w:rPr>
          <w:rFonts w:ascii="Times New Roman" w:cs="Times New Roman" w:eastAsia="Times New Roman" w:hAnsi="Times New Roman"/>
          <w:sz w:val="18"/>
          <w:szCs w:val="18"/>
          <w:b w:val="1"/>
          <w:bCs w:val="1"/>
          <w:color w:val="auto"/>
        </w:rPr>
        <w:t>Note D - Oil and Natural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Gas Properties, Other Property and Equipment and Lease Information </w:t>
      </w:r>
      <w:r>
        <w:rPr>
          <w:rFonts w:ascii="Times New Roman" w:cs="Times New Roman" w:eastAsia="Times New Roman" w:hAnsi="Times New Roman"/>
          <w:sz w:val="18"/>
          <w:szCs w:val="18"/>
          <w:color w:val="auto"/>
        </w:rPr>
        <w:t>for additional information related to the leases. In addition, certain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these commitments are not recorded in the Company's consolidated balance sheets as a result of contracts having an initial term of 12-months or less. Future minimum commitments as of June 30, 2024 total approximately $28 million.</w:t>
      </w:r>
    </w:p>
    <w:p>
      <w:pPr>
        <w:spacing w:after="0" w:line="187"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entered into commitments for compressor rentals in the normal course of business for operating oil and natural gas properties. As a result, the Company's compressor rental commitments total $128 million. The Company's compressor rentals are subject to long-term contracts which are subject to substantive substitution rights and thus not considered a lease under ASC 842.</w:t>
      </w:r>
    </w:p>
    <w:p>
      <w:pPr>
        <w:spacing w:after="0" w:line="175"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commitments related to a two-year lease of office space in Midland, Texas.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J – FAIR VALUE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fair value measurement for the Company’s financial assets or liabilities carried at fair value as of June 30, 2024 (dollars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Pr>
          <w:p>
            <w:pPr>
              <w:spacing w:after="0"/>
              <w:rPr>
                <w:sz w:val="21"/>
                <w:szCs w:val="21"/>
                <w:color w:val="auto"/>
              </w:rPr>
            </w:pPr>
          </w:p>
        </w:tc>
        <w:tc>
          <w:tcPr>
            <w:tcW w:w="3700" w:type="dxa"/>
            <w:vAlign w:val="bottom"/>
            <w:gridSpan w:val="8"/>
          </w:tcPr>
          <w:p>
            <w:pPr>
              <w:ind w:left="540"/>
              <w:spacing w:after="0"/>
              <w:rPr>
                <w:sz w:val="20"/>
                <w:szCs w:val="20"/>
                <w:color w:val="auto"/>
              </w:rPr>
            </w:pPr>
            <w:r>
              <w:rPr>
                <w:rFonts w:ascii="Times New Roman" w:cs="Times New Roman" w:eastAsia="Times New Roman" w:hAnsi="Times New Roman"/>
                <w:sz w:val="18"/>
                <w:szCs w:val="18"/>
                <w:b w:val="1"/>
                <w:bCs w:val="1"/>
                <w:color w:val="auto"/>
              </w:rPr>
              <w:t>Fair value measurement using</w:t>
            </w:r>
          </w:p>
        </w:tc>
      </w:tr>
      <w:tr>
        <w:trPr>
          <w:trHeight w:val="223"/>
        </w:trPr>
        <w:tc>
          <w:tcPr>
            <w:tcW w:w="4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9"/>
                <w:szCs w:val="19"/>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Derivatives:</w:t>
            </w:r>
          </w:p>
        </w:tc>
        <w:tc>
          <w:tcPr>
            <w:tcW w:w="17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Crude oil contract assets</w:t>
            </w:r>
          </w:p>
        </w:tc>
        <w:tc>
          <w:tcPr>
            <w:tcW w:w="2000" w:type="dxa"/>
            <w:vAlign w:val="bottom"/>
            <w:gridSpan w:val="2"/>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Crude oil contract liabilities</w:t>
            </w:r>
          </w:p>
        </w:tc>
        <w:tc>
          <w:tcPr>
            <w:tcW w:w="200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Natural gas contract assets</w:t>
            </w:r>
          </w:p>
        </w:tc>
        <w:tc>
          <w:tcPr>
            <w:tcW w:w="2000" w:type="dxa"/>
            <w:vAlign w:val="bottom"/>
            <w:gridSpan w:val="2"/>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Natural gas contract liabilities</w:t>
            </w:r>
          </w:p>
        </w:tc>
        <w:tc>
          <w:tcPr>
            <w:tcW w:w="200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Electricity price swap assets</w:t>
            </w:r>
          </w:p>
        </w:tc>
        <w:tc>
          <w:tcPr>
            <w:tcW w:w="2000" w:type="dxa"/>
            <w:vAlign w:val="bottom"/>
            <w:gridSpan w:val="2"/>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Rabbi Trust:</w:t>
            </w: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0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Marketable securities held in Trust</w:t>
            </w:r>
            <w:r>
              <w:rPr>
                <w:rFonts w:ascii="Times New Roman" w:cs="Times New Roman" w:eastAsia="Times New Roman" w:hAnsi="Times New Roman"/>
                <w:sz w:val="25"/>
                <w:szCs w:val="25"/>
                <w:color w:val="auto"/>
                <w:vertAlign w:val="superscript"/>
              </w:rPr>
              <w:t>(1)</w:t>
            </w:r>
          </w:p>
        </w:tc>
        <w:tc>
          <w:tcPr>
            <w:tcW w:w="2000" w:type="dxa"/>
            <w:vAlign w:val="bottom"/>
            <w:gridSpan w:val="2"/>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557"/>
        </w:trPr>
        <w:tc>
          <w:tcPr>
            <w:tcW w:w="4200" w:type="dxa"/>
            <w:vAlign w:val="bottom"/>
          </w:tcPr>
          <w:p>
            <w:pPr>
              <w:spacing w:after="0"/>
              <w:rPr>
                <w:sz w:val="24"/>
                <w:szCs w:val="24"/>
                <w:color w:val="auto"/>
              </w:rPr>
            </w:pPr>
          </w:p>
        </w:tc>
        <w:tc>
          <w:tcPr>
            <w:tcW w:w="178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21</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420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7" w:right="339" w:bottom="1440" w:gutter="0" w:footer="0" w:header="0"/>
        </w:sectPr>
      </w:pPr>
    </w:p>
    <w:bookmarkStart w:id="26" w:name="page27"/>
    <w:bookmarkEnd w:id="26"/>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fair value measurement information within the hierarchy for the Company’s financial assets and liabilities carried at fair value as of December 31, 2023 (dollars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Pr>
          <w:p>
            <w:pPr>
              <w:spacing w:after="0"/>
              <w:rPr>
                <w:sz w:val="21"/>
                <w:szCs w:val="21"/>
                <w:color w:val="auto"/>
              </w:rPr>
            </w:pPr>
          </w:p>
        </w:tc>
        <w:tc>
          <w:tcPr>
            <w:tcW w:w="3700" w:type="dxa"/>
            <w:vAlign w:val="bottom"/>
            <w:gridSpan w:val="8"/>
          </w:tcPr>
          <w:p>
            <w:pPr>
              <w:ind w:left="540"/>
              <w:spacing w:after="0"/>
              <w:rPr>
                <w:sz w:val="20"/>
                <w:szCs w:val="20"/>
                <w:color w:val="auto"/>
              </w:rPr>
            </w:pPr>
            <w:r>
              <w:rPr>
                <w:rFonts w:ascii="Times New Roman" w:cs="Times New Roman" w:eastAsia="Times New Roman" w:hAnsi="Times New Roman"/>
                <w:sz w:val="18"/>
                <w:szCs w:val="18"/>
                <w:b w:val="1"/>
                <w:bCs w:val="1"/>
                <w:color w:val="auto"/>
              </w:rPr>
              <w:t>Fair value measurement using</w:t>
            </w:r>
          </w:p>
        </w:tc>
      </w:tr>
      <w:tr>
        <w:trPr>
          <w:trHeight w:val="223"/>
        </w:trPr>
        <w:tc>
          <w:tcPr>
            <w:tcW w:w="5980" w:type="dxa"/>
            <w:vAlign w:val="bottom"/>
          </w:tcPr>
          <w:p>
            <w:pPr>
              <w:spacing w:after="0"/>
              <w:rPr>
                <w:sz w:val="19"/>
                <w:szCs w:val="19"/>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Derivatives:</w:t>
            </w: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Crude oil contract assets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Crude oil contract liabilities</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Natural gas contract assets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Natural gas contract liabilities</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Electricity price swap assets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Electricity price swap liabilities</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Rabbi Trust: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94"/>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Marketable securities held in trust </w:t>
            </w:r>
            <w:r>
              <w:rPr>
                <w:rFonts w:ascii="Times New Roman" w:cs="Times New Roman" w:eastAsia="Times New Roman" w:hAnsi="Times New Roman"/>
                <w:sz w:val="29"/>
                <w:szCs w:val="29"/>
                <w:color w:val="auto"/>
                <w:vertAlign w:val="superscript"/>
              </w:rPr>
              <w:t>(1)</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p>
    <w:p>
      <w:pPr>
        <w:jc w:val="both"/>
        <w:ind w:left="660" w:hanging="4"/>
        <w:spacing w:after="0" w:line="266" w:lineRule="auto"/>
        <w:tabs>
          <w:tab w:leader="none" w:pos="9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selected investments held in a trust related to certain Non-Qualified Deferred Compensation Plan liabilities. These securities are classified as other noncurrent assets and other noncurrent liabilities in the consolidated balance sheets because funds are restricted and are not available for the Company to use in its operations. See </w:t>
      </w:r>
      <w:r>
        <w:rPr>
          <w:rFonts w:ascii="Times New Roman" w:cs="Times New Roman" w:eastAsia="Times New Roman" w:hAnsi="Times New Roman"/>
          <w:sz w:val="18"/>
          <w:szCs w:val="18"/>
          <w:b w:val="1"/>
          <w:bCs w:val="1"/>
          <w:color w:val="auto"/>
        </w:rPr>
        <w:t>Note L - Employee Incentive Plan</w:t>
      </w:r>
      <w:r>
        <w:rPr>
          <w:rFonts w:ascii="Times New Roman" w:cs="Times New Roman" w:eastAsia="Times New Roman" w:hAnsi="Times New Roman"/>
          <w:sz w:val="18"/>
          <w:szCs w:val="18"/>
          <w:color w:val="auto"/>
        </w:rPr>
        <w:t xml:space="preserve"> for additional discussion.</w:t>
      </w:r>
    </w:p>
    <w:p>
      <w:pPr>
        <w:spacing w:after="0" w:line="176" w:lineRule="exact"/>
        <w:rPr>
          <w:sz w:val="20"/>
          <w:szCs w:val="20"/>
          <w:color w:val="auto"/>
        </w:rPr>
      </w:pPr>
    </w:p>
    <w:p>
      <w:pPr>
        <w:jc w:val="both"/>
        <w:spacing w:after="0" w:line="223" w:lineRule="exact"/>
        <w:rPr>
          <w:sz w:val="20"/>
          <w:szCs w:val="20"/>
          <w:color w:val="auto"/>
        </w:rPr>
      </w:pPr>
      <w:r>
        <w:rPr>
          <w:rFonts w:ascii="Times New Roman" w:cs="Times New Roman" w:eastAsia="Times New Roman" w:hAnsi="Times New Roman"/>
          <w:sz w:val="18"/>
          <w:szCs w:val="18"/>
          <w:color w:val="auto"/>
        </w:rPr>
        <w:t>The initial measurement of asset retirement obligations at fair value is calculated using discounted cash flow techniques and based on internal estimates of future retirement costs associated with oil and natural gas properties. Significant Level 3 inputs used in the calculation of asset retirement obligations include plugging costs and reserve lives. Financial instruments which potentially subject the Company to concentrations of credit risk consist principally of cash and cash equivalents, accounts receivable and derivative financial instruments. The Company places its cash and cash equivalents with creditworthy institutions. With respect to accounts receivable, these financial instruments primarily pertain to oil, natural gas and NGL sales and joint interest billings. These receivables are due from small to large companies engaged principally in oil and natural gas activities. Ongoing credit evaluations are performed. Payment terms are on a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basis and in accordance with industry practices.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K – EMPLOYEE BENEFIT PLANS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qualified 401(k) profit sharing plan is the Endeavor Parent, LLC 401(k) Plan (the “401(k) Plan”), which is open to all eligible employees of the Company. Eligible employees may elect to defer compensation through voluntary contributions to their 401(k) Plan accounts, subject to plan limits and those set by the Internal Revenue Service. The Company matches voluntary employee contributions at a rate of 100% for each dollar contributed up to 8% of an employee’s eligible compensation each payroll period, subject to certain limits. The Company may also make discretionary contributions each year. Total contributions made by the Company were $5 million and $4 million for the six months ended June 30, 2024 and 2023,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L – EMPLOYEE INCENTIVE PLANS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maintains the Endeavor Energy Resources, L.P. Amended and Restated Incentive Compensation Plan (the “Incentive Plan”), which provides for the award of both short-term incentive compensation and long-term incentive compensation in the form of cash awards to eligible employees based on the Company's attainment of certain performance goals coupled with individual performance objectives each calendar year and the eligible employee's designated target percentage. As of June 30, 2024 and December 31, 2023, the Company accrued $17 million and $32 million, respectively, for the short-term incentive plan.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long-term compensation cash awards granted pursuant to the Incentive Plan generally vest over a 3-year period and are payable on an annual basis, contingent on continued employment through the applicable payment date. As of June 30, 2024 and December 31, 2023, the Company accrued $4 million and $6 million, respectively, for the long-term incentive plan.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maintains the Phantom Unit Plan, which provides for grants of phantom unit awards to certain eligible employees. The awards generally vest over a three-year period, contingent on continued employment, and provide for a cash payment equal to the unit value (calculated based upon the annual value of the Company’s proved reserves) multiplied by the number of phantom units subject to each award upon vesting, or under a change of control, in certain cases. As of June 30, 2024 and December 31, 2023, the Company had accrued $13 million and $33 million, respectively, related to these arrangements.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first quarter of 2024, the Company amended the Company's long-term incentive plan and Phantom Unit Plan in order to modify the treatment of outstanding awards upon certain qualifying “change of control” transactions.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offers a Non-Qualified Deferred Compensation Plan (“NQDC Plan”) to a select group of our management and highly compensated employees. The NQDC Plan provides participants the opportunity to defer payment of certain compensation as defined in the NQDC Plan. As of June 30, 2024, the NQDC Plan obligations were $23 million and were included in other long-term liabilities in the consolidated balance sheets. The assets held by the NQDC Plan's trust are included in other noncurrent assets in the consolidated balance sheets. The NQDC Plan is managed by a third-party institution, and the deferred compensation and investment earnings are held as Company assets in a trust (the “Trust”). The assets in the Trust are restricted unless the Company becomes insolvent, in which case the Trust assets are subject to the claims of the Company's creditors.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M – INCOME TAXES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January 1, 2024, the Company's Board of Managers elected to revoke the Company's status as an S-Corporation and convert the Company to a C-Corporation for U.S. federal income tax purposes. As a result, the Company will be taxed for U.S. federal income tax purposes as a C-Corporation after this effective date. The Company has recorded a federal deferred tax liability of $1,630 million and associated deferred tax expense. This amount represents the difference between the book basis of its assets and tax basis as determined as of January 1, 2024 primarily attributable to oil and natural gas properties. The following summarizes the Company's provision for income taxes for the periods indicated (dollars in millions):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4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86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taxes - C-Corporation conversion effect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r>
      <w:tr>
        <w:trPr>
          <w:trHeight w:val="25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and 2023, the Company recorded $422 million and $13 million, respectively, provision for income taxes. The Company income tax rate, excluding one-time deferred tax expense related to the C-Corporation conversion, was 22% and 1% for the six months ended June 30, 2024 and 2023, respectively.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2023, the Company amended certain Texas Franchise tax returns to assert certain tax positions on certain drilling and experimental expenditures related to horizontal drilling and completion innovations, which reduced the Company's effective tax rate as a result of the Company recognizing $12 million, net of allowance of $3 million, in research and development tax credits during 2023. The Company anticipates that all research and development tax credits will be used on the 2023 Texas Franchise tax return, as such, no amounts have been included as deferred tax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N – MEMBERS’ EQUITY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2024, the Company made $690 million cash distributions to the members. In addition, in June 2024, the Company approved a $231 million distribution to be paid in July 2024. As a result, the Company accrued $231 million as distributions payable as of June 30,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six months ended June 30, 2023, the Company made $265 million in distributions to the members.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O – SUBSEQUENT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July 2024, the Company paid out $231 million in distributions to its members that was previously declared and accrued for in June 2024.</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July 2024, the Company amended multiple contracts with its largest natural gas and Natural gas liquids (“NGL”) purchaser, such that the Company is now obligated to take-in-kind approximately 30% of the Company’s current operated NGL production that is contractually committed to such purchaser. These volumes were previously sold to such purchaser at the wellhead. The contract amendments stipulate that the Company will take in-kind future NGL volumes produced within the committed acreage described in the amendments. Additionally, the contract amendments provide the Company with natural gas take-in-kind option rights allowing the Company to take-in-kind up to 100% of its' current and future natural gas volumes processed by such purchaser. Both the NGL and natural gas take in-kind volumes will be sold at market centers outside of the Permian Basin, which the Company believes will enhance price realizations. The amendments added approximately 18,000 net dedicated acres to the Company's contracts with the purchaser and extended the term of the Company's purchase contracts with the purchaser through 2038.</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has evaluated subsequent events through August 13, 2024, the date the consolidated financial statements were available to be issued.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PRO FORMA COMBINED FINANCIAL STATEMENTS</w:t>
      </w:r>
    </w:p>
    <w:p>
      <w:pPr>
        <w:spacing w:after="0" w:line="225"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On September 10, 2024, (the “Closing Date”), Diamondback Energy, Inc., (“Diamondback”, “we,” “us,” or “our”) completed the previously announced acquisition of Endeavor Parent, LLC (“Endeavor” and such acquisition, the “Acquisition”) by acquiring 100% of the equity interests in Endeavor (the “Endeavor Interests”). The aggregate consideration in exchange for the Endeavor Interests under the terms of the Agreement and Plan of Merger for the Acquisition (as amended, the “Merger Agreement”) included: (i) cash consideration of approximately $7.1 billion, subject to customary post-closing adjustments under the terms of the Merger Agreement, and (ii) 117,267,065 shares of our common stock.</w:t>
      </w:r>
    </w:p>
    <w:p>
      <w:pPr>
        <w:spacing w:after="0" w:line="183"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following unaudited pro forma combined financial information (the “pro forma financial statements”) gives effect to the Acquisition, which will be accounted for using the acquisition method of accounting with Diamondback identified as the acquirer. Under the acquisition method of accounting, we will record assets acquired and liabilities assumed from Endeavor at their respective acquisition date fair values on the Closing Date.</w:t>
      </w:r>
    </w:p>
    <w:p>
      <w:pPr>
        <w:spacing w:after="0" w:line="17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pro forma financial statements have been prepared from the respective historical consolidated financial statements of Diamondback and Endeavor, adjusted to give effect to the Acquisition. The unaudited pro forma combined balance sheet (the “pro forma balance sheet”) combines the historical consolidated balance sheets of Diamondback and Endeavor as of June 30, 2024, giving effect to the Acquisition as if it had been completed on June 30, 2024. The unaudited pro forma combined statements of operations (the “pro forma statements of operations” and together with the pro forma balance sheet, the “pro forma financial statements”) for the six months ended June 30, 2024 and for the year ended December 31, 2023, combine the historical consolidated statements of operations of Diamondback and Endeavor, giving effect to the Acquisition as if it had been completed on January 1, 2023. The pro forma financial statements contain certain reclassification adjustments to conform the historical Endeavor financial statement presentation to our financial statement presentation. For purposes of the pro forma financial statements presented below, it is assumed that we funded the cash consideration with (i) cash on hand as of June 30, 2024, excluding cash attributable to Viper Energy, Inc., and (ii) $1.0 billion of borrowings from the Term Loan Credit Agreement with Diamondback E&amp;P LLC, as borrower, and Citibank, N.A., as administrative agent, entered into on February 29, 2024 (the “term loan”).</w:t>
      </w:r>
    </w:p>
    <w:p>
      <w:pPr>
        <w:spacing w:after="0" w:line="192"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The pro forma financial statements are presented to reflect the Acquisition and do not (i) represent what our financial position or results of operations would have been had the Acquisition occurred on the dates noted above, (ii) project the financial position or results of operations of the combined company following the Acquisition nor (iii) reflect the actual pro forma financial position of Diamondback as of the Closing Date. The pro forma financial statements are intended to provide information about the continuing impact of the Acquisition as if it had been consummated on the dates noted above, which are earlier than the Closing Date. The pro forma adjustments are based on available information and certain assumptions that management believes are factually supportable. In the opinion of our management, all adjustments necessary to present fairly the pro forma financial statements have been made.</w:t>
      </w:r>
    </w:p>
    <w:p>
      <w:pPr>
        <w:spacing w:after="0" w:line="18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 pro forma financial statements do not include the realization of any cost savings from operating efficiencies or synergies that might result from the Acquisition. The pro forma financial statements exclude the costs associated with subsequent integration activities related to the Acquisition. Additionally, we and Endeavor anticipate that certain non-recurring charges will be incurred in connection with the Acquisition, the substantial majority of which consist of fees paid to financial, legal and accounting advisors and filing fees. Any such charge could affect the future results of the post-acquisition company in the period in which such charges are incurred; however, these costs are not expected to be incurred in any period beyond twelve months from the Closing Date. Accordingly, the pro forma statement of operations for the year ended December 31, 2023 reflects the effects of any expected non-recurring charges which are not included in the historical statements of operations of Diamondback or Endeavor.</w:t>
      </w:r>
    </w:p>
    <w:p>
      <w:pPr>
        <w:spacing w:after="0" w:line="189"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As of the date of the Form 8-K/A to which these pro forma financial statements are included as an exhibit, we have used currently available information to determine preliminary fair value estimates for the allocation of the total Acquisition consideration to the Endeavor tangible assets, identifiable intangible assets acquired, if any, and liabilities assumed. We estimated the fair value of Endeavor’s assets and liabilities based on reviews of Endeavor’s historical audited financial statements, preliminary valuation studies, discussions with Endeavor’s management and other due diligence procedures. The assumptions and estimates used to determine the preliminary purchase price allocation and fair value adjustments are described in the notes accompanying the pro forma financial statements.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29" w:name="page30"/>
    <w:bookmarkEnd w:id="29"/>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The final determination of the fair value of Endeavor’s assets and liabilities will be based on the actual net tangible and intangible assets and liabilities of Endeavor acquired as of the Closing Date, as determined by valuation studies which are currently ongoing.</w:t>
      </w:r>
    </w:p>
    <w:p>
      <w:pPr>
        <w:spacing w:after="0" w:line="16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As a result of the foregoing, the transaction accounting adjustments are preliminary and subject to change as additional information becomes available and additional analysis is performed. The preliminary transaction accounting adjustments have been made solely for the purpose of providing the pro forma financial statements presented below. Any increases or decreases in the fair value of assets acquired and liabilities assumed upon completion of the final valuation will result in adjustments to the pro forma balance sheet and if applicable, the pro forma statements of operations. The final purchase price allocation may be materially different than that reflected in the preliminary purchase price allocation presented herein.</w:t>
      </w:r>
    </w:p>
    <w:p>
      <w:pPr>
        <w:spacing w:after="0" w:line="183"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The pro forma financial statements have been developed from and should be read in conjunction with, (i) Diamondback’s historical consolidated financial statements and the notes thereto included in Diamondback’s Quarterly Report on Form 10-Q for the period ended June 30, 2024 and Diamondback’s Annual Report on Form 10-K for the year ended December 31, 2023 and (ii) Endeavor’s historical unaudited consolidated financial statements for the six months ended June 30, 2024 and Endeavor’s historical audited consolidated financial statements as of December 31, 2023 and 2022 and for the year ended December 31, 2023 and the notes thereto, which such information in the foregoing clause (ii) are attached as Exhibit 99.1 to, and incorporated by reference into, respectively, the Form 8-K/A to which these pro forma financial statements are included as an exhibit.</w:t>
      </w: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0" w:name="page31"/>
    <w:bookmarkEnd w:id="30"/>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Combined Balance Sheet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gridSpan w:val="5"/>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As of June 30, 2024</w:t>
            </w:r>
          </w:p>
        </w:tc>
        <w:tc>
          <w:tcPr>
            <w:tcW w:w="1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gridSpan w:val="5"/>
          </w:tcPr>
          <w:p>
            <w:pPr>
              <w:jc w:val="right"/>
              <w:ind w:right="420"/>
              <w:spacing w:after="0" w:line="194" w:lineRule="exact"/>
              <w:rPr>
                <w:sz w:val="20"/>
                <w:szCs w:val="20"/>
                <w:color w:val="auto"/>
              </w:rPr>
            </w:pPr>
            <w:r>
              <w:rPr>
                <w:rFonts w:ascii="Times New Roman" w:cs="Times New Roman" w:eastAsia="Times New Roman" w:hAnsi="Times New Roman"/>
                <w:sz w:val="18"/>
                <w:szCs w:val="18"/>
                <w:b w:val="1"/>
                <w:bCs w:val="1"/>
                <w:color w:val="auto"/>
              </w:rPr>
              <w:t>Transaction Accounting</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360" w:type="dxa"/>
            <w:vAlign w:val="bottom"/>
            <w:gridSpan w:val="5"/>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00" w:type="dxa"/>
            <w:vAlign w:val="bottom"/>
          </w:tcPr>
          <w:p>
            <w:pPr>
              <w:spacing w:after="0"/>
              <w:rPr>
                <w:sz w:val="21"/>
                <w:szCs w:val="21"/>
                <w:color w:val="auto"/>
              </w:rPr>
            </w:pPr>
          </w:p>
        </w:tc>
        <w:tc>
          <w:tcPr>
            <w:tcW w:w="250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Reclassification</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9"/>
              </w:rPr>
              <w:t>Pro Forma</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2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Diamondback</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7"/>
              </w:rPr>
              <w:t>Adjustments</w:t>
            </w: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Pro Forma</w:t>
            </w:r>
          </w:p>
        </w:tc>
        <w:tc>
          <w:tcPr>
            <w:tcW w:w="0" w:type="dxa"/>
            <w:vAlign w:val="bottom"/>
          </w:tcPr>
          <w:p>
            <w:pPr>
              <w:spacing w:after="0"/>
              <w:rPr>
                <w:sz w:val="1"/>
                <w:szCs w:val="1"/>
                <w:color w:val="auto"/>
              </w:rPr>
            </w:pPr>
          </w:p>
        </w:tc>
      </w:tr>
      <w:tr>
        <w:trPr>
          <w:trHeight w:val="245"/>
        </w:trPr>
        <w:tc>
          <w:tcPr>
            <w:tcW w:w="3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Diamondback</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Endeavor</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Note 3 (a)</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Note 3</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Combined</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540" w:type="dxa"/>
            <w:vAlign w:val="bottom"/>
            <w:vMerge w:val="restart"/>
          </w:tcPr>
          <w:p>
            <w:pPr>
              <w:ind w:left="15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900" w:type="dxa"/>
            <w:vAlign w:val="bottom"/>
            <w:gridSpan w:val="9"/>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(In millions, except par value and share amounts)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5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gridSpan w:val="2"/>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 xml:space="preserve">(7,511) </w:t>
            </w:r>
            <w:r>
              <w:rPr>
                <w:rFonts w:ascii="Times New Roman" w:cs="Times New Roman" w:eastAsia="Times New Roman" w:hAnsi="Times New Roman"/>
                <w:sz w:val="18"/>
                <w:szCs w:val="18"/>
                <w:i w:val="1"/>
                <w:iCs w:val="1"/>
                <w:color w:val="auto"/>
              </w:rPr>
              <w:t>(c)(d)(g)(m)</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16"/>
        </w:trPr>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Joint interest and other, net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Oil and natural gas sales, net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695</w:t>
            </w:r>
          </w:p>
        </w:tc>
        <w:tc>
          <w:tcPr>
            <w:tcW w:w="120" w:type="dxa"/>
            <w:vAlign w:val="bottom"/>
            <w:shd w:val="clear" w:color="auto" w:fill="CCEEFF"/>
          </w:tcPr>
          <w:p>
            <w:pPr>
              <w:spacing w:after="0"/>
              <w:rPr>
                <w:sz w:val="18"/>
                <w:szCs w:val="18"/>
                <w:color w:val="auto"/>
              </w:rPr>
            </w:pPr>
          </w:p>
        </w:tc>
        <w:tc>
          <w:tcPr>
            <w:tcW w:w="2200" w:type="dxa"/>
            <w:vAlign w:val="bottom"/>
            <w:gridSpan w:val="3"/>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i w:val="1"/>
                <w:iCs w:val="1"/>
                <w:color w:val="auto"/>
              </w:rPr>
              <w:t>(h)</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1,399</w:t>
            </w:r>
          </w:p>
        </w:tc>
        <w:tc>
          <w:tcPr>
            <w:tcW w:w="0" w:type="dxa"/>
            <w:vAlign w:val="bottom"/>
          </w:tcPr>
          <w:p>
            <w:pPr>
              <w:spacing w:after="0"/>
              <w:rPr>
                <w:sz w:val="1"/>
                <w:szCs w:val="1"/>
                <w:color w:val="auto"/>
              </w:rPr>
            </w:pPr>
          </w:p>
        </w:tc>
      </w:tr>
      <w:tr>
        <w:trPr>
          <w:trHeight w:val="216"/>
        </w:trPr>
        <w:tc>
          <w:tcPr>
            <w:tcW w:w="3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oil and natural gas revenues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(726)</w:t>
            </w: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Related parties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 other</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16"/>
        </w:trPr>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instruments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(g)</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7"/>
        </w:trPr>
        <w:tc>
          <w:tcPr>
            <w:tcW w:w="35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7,825</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1,849</w:t>
            </w:r>
          </w:p>
        </w:tc>
        <w:tc>
          <w:tcPr>
            <w:tcW w:w="1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(7,517)</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2,126</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540" w:type="dxa"/>
            <w:vAlign w:val="bottom"/>
          </w:tcPr>
          <w:p>
            <w:pPr>
              <w:ind w:left="180"/>
              <w:spacing w:after="0" w:line="195" w:lineRule="exact"/>
              <w:rPr>
                <w:sz w:val="20"/>
                <w:szCs w:val="20"/>
                <w:color w:val="auto"/>
              </w:rPr>
            </w:pPr>
            <w:r>
              <w:rPr>
                <w:rFonts w:ascii="Times New Roman" w:cs="Times New Roman" w:eastAsia="Times New Roman" w:hAnsi="Times New Roman"/>
                <w:sz w:val="18"/>
                <w:szCs w:val="18"/>
                <w:color w:val="auto"/>
              </w:rPr>
              <w:t>Oil and natural gas properties, full cost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ind w:left="20"/>
              <w:spacing w:after="0" w:line="195" w:lineRule="exact"/>
              <w:rPr>
                <w:sz w:val="20"/>
                <w:szCs w:val="20"/>
                <w:color w:val="auto"/>
              </w:rPr>
            </w:pPr>
            <w:r>
              <w:rPr>
                <w:rFonts w:ascii="Times New Roman" w:cs="Times New Roman" w:eastAsia="Times New Roman" w:hAnsi="Times New Roman"/>
                <w:sz w:val="18"/>
                <w:szCs w:val="18"/>
                <w:i w:val="1"/>
                <w:iCs w:val="1"/>
                <w:color w:val="auto"/>
              </w:rPr>
              <w:t>(b)(c)(d)(e)</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method of accounting</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43,793</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16,846</w:t>
            </w:r>
          </w:p>
        </w:tc>
        <w:tc>
          <w:tcPr>
            <w:tcW w:w="12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18,421</w:t>
            </w: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(f)</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79,060</w:t>
            </w:r>
          </w:p>
        </w:tc>
        <w:tc>
          <w:tcPr>
            <w:tcW w:w="0" w:type="dxa"/>
            <w:vAlign w:val="bottom"/>
          </w:tcPr>
          <w:p>
            <w:pPr>
              <w:spacing w:after="0"/>
              <w:rPr>
                <w:sz w:val="1"/>
                <w:szCs w:val="1"/>
                <w:color w:val="auto"/>
              </w:rPr>
            </w:pPr>
          </w:p>
        </w:tc>
      </w:tr>
      <w:tr>
        <w:trPr>
          <w:trHeight w:val="198"/>
        </w:trPr>
        <w:tc>
          <w:tcPr>
            <w:tcW w:w="35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Oil and natural gas property and equipment,</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full cost method, net</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9,687</w:t>
            </w: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(9,687)</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property, equipment and land</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850</w:t>
            </w:r>
          </w:p>
        </w:tc>
        <w:tc>
          <w:tcPr>
            <w:tcW w:w="120" w:type="dxa"/>
            <w:vAlign w:val="bottom"/>
          </w:tcPr>
          <w:p>
            <w:pPr>
              <w:spacing w:after="0"/>
              <w:rPr>
                <w:sz w:val="18"/>
                <w:szCs w:val="18"/>
                <w:color w:val="auto"/>
              </w:rPr>
            </w:pPr>
          </w:p>
        </w:tc>
        <w:tc>
          <w:tcPr>
            <w:tcW w:w="220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i w:val="1"/>
                <w:iCs w:val="1"/>
                <w:color w:val="auto"/>
              </w:rPr>
              <w:t>(c)(e)</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1,431</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property and equipment, net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(575)</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5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Accumulated depletion, depreciation,</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(e)</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and impairment</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(17,360)</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(7,434)</w:t>
            </w:r>
          </w:p>
        </w:tc>
        <w:tc>
          <w:tcPr>
            <w:tcW w:w="12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7,434</w:t>
            </w:r>
          </w:p>
        </w:tc>
        <w:tc>
          <w:tcPr>
            <w:tcW w:w="11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(17,360)</w:t>
            </w:r>
          </w:p>
        </w:tc>
        <w:tc>
          <w:tcPr>
            <w:tcW w:w="0" w:type="dxa"/>
            <w:vAlign w:val="bottom"/>
          </w:tcPr>
          <w:p>
            <w:pPr>
              <w:spacing w:after="0"/>
              <w:rPr>
                <w:sz w:val="1"/>
                <w:szCs w:val="1"/>
                <w:color w:val="auto"/>
              </w:rPr>
            </w:pPr>
          </w:p>
        </w:tc>
      </w:tr>
      <w:tr>
        <w:trPr>
          <w:trHeight w:val="223"/>
        </w:trPr>
        <w:tc>
          <w:tcPr>
            <w:tcW w:w="35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27,099</w:t>
            </w: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10,262</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CCEEFF"/>
            </w:tcBorders>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25,770</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63,131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Equity method investments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instruments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real estate, net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 - related parties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35,637</w:t>
            </w:r>
          </w:p>
        </w:tc>
        <w:tc>
          <w:tcPr>
            <w:tcW w:w="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12,194</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18,253</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66,053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5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 trade</w:t>
            </w:r>
          </w:p>
        </w:tc>
        <w:tc>
          <w:tcPr>
            <w:tcW w:w="400" w:type="dxa"/>
            <w:vAlign w:val="bottom"/>
            <w:gridSpan w:val="2"/>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11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(h)</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 oil and gas revenue</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(759)</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capital expenditures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w:t>
            </w:r>
          </w:p>
        </w:tc>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701</w:t>
            </w:r>
          </w:p>
        </w:tc>
        <w:tc>
          <w:tcPr>
            <w:tcW w:w="0" w:type="dxa"/>
            <w:vAlign w:val="bottom"/>
          </w:tcPr>
          <w:p>
            <w:pPr>
              <w:spacing w:after="0"/>
              <w:rPr>
                <w:sz w:val="1"/>
                <w:szCs w:val="1"/>
                <w:color w:val="auto"/>
              </w:rPr>
            </w:pPr>
          </w:p>
        </w:tc>
      </w:tr>
      <w:tr>
        <w:trPr>
          <w:trHeight w:val="216"/>
        </w:trPr>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Distributions payable</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16"/>
        </w:trPr>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Revenues and royalties payable</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759</w:t>
            </w: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1,541</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instruments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debt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(g)</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3"/>
        </w:trPr>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913</w:t>
            </w: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color w:val="auto"/>
              </w:rPr>
              <w:t xml:space="preserve">(913) </w:t>
            </w:r>
            <w:r>
              <w:rPr>
                <w:rFonts w:ascii="Times New Roman" w:cs="Times New Roman" w:eastAsia="Times New Roman" w:hAnsi="Times New Roman"/>
                <w:sz w:val="18"/>
                <w:szCs w:val="18"/>
                <w:i w:val="1"/>
                <w:iCs w:val="1"/>
                <w:color w:val="auto"/>
              </w:rPr>
              <w:t>(d)(g)</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11,980</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instruments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557</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1,807</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5,568</w:t>
            </w:r>
          </w:p>
        </w:tc>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(f)</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9,924</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7"/>
        </w:trPr>
        <w:tc>
          <w:tcPr>
            <w:tcW w:w="35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4,720</w:t>
            </w:r>
          </w:p>
        </w:tc>
        <w:tc>
          <w:tcPr>
            <w:tcW w:w="1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5,727</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27,526</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5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$0.01 par value; 800,000,000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(c)</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shares authorized</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11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Member’s equity</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7,454</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0" w:type="dxa"/>
            <w:vAlign w:val="bottom"/>
            <w:gridSpan w:val="3"/>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 xml:space="preserve">(7,454) </w:t>
            </w:r>
            <w:r>
              <w:rPr>
                <w:rFonts w:ascii="Times New Roman" w:cs="Times New Roman" w:eastAsia="Times New Roman" w:hAnsi="Times New Roman"/>
                <w:sz w:val="18"/>
                <w:szCs w:val="18"/>
                <w:i w:val="1"/>
                <w:iCs w:val="1"/>
                <w:color w:val="auto"/>
              </w:rPr>
              <w:t>(b)</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20,109</w:t>
            </w: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34,376</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0" w:type="dxa"/>
            <w:vAlign w:val="bottom"/>
            <w:gridSpan w:val="3"/>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 xml:space="preserve">(110) </w:t>
            </w:r>
            <w:r>
              <w:rPr>
                <w:rFonts w:ascii="Times New Roman" w:cs="Times New Roman" w:eastAsia="Times New Roman" w:hAnsi="Times New Roman"/>
                <w:sz w:val="18"/>
                <w:szCs w:val="18"/>
                <w:i w:val="1"/>
                <w:iCs w:val="1"/>
                <w:color w:val="auto"/>
              </w:rPr>
              <w:t>(i)(m)</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3,077</w:t>
            </w:r>
          </w:p>
        </w:tc>
        <w:tc>
          <w:tcPr>
            <w:tcW w:w="0" w:type="dxa"/>
            <w:vAlign w:val="bottom"/>
          </w:tcPr>
          <w:p>
            <w:pPr>
              <w:spacing w:after="0"/>
              <w:rPr>
                <w:sz w:val="1"/>
                <w:szCs w:val="1"/>
                <w:color w:val="auto"/>
              </w:rPr>
            </w:pPr>
          </w:p>
        </w:tc>
      </w:tr>
      <w:tr>
        <w:trPr>
          <w:trHeight w:val="198"/>
        </w:trPr>
        <w:tc>
          <w:tcPr>
            <w:tcW w:w="35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Accumulated other comprehensive income</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0" w:type="dxa"/>
            <w:vAlign w:val="bottom"/>
            <w:gridSpan w:val="3"/>
            <w:vMerge w:val="restart"/>
          </w:tcPr>
          <w:p>
            <w:pPr>
              <w:jc w:val="right"/>
              <w:ind w:right="810"/>
              <w:spacing w:after="0"/>
              <w:rPr>
                <w:sz w:val="20"/>
                <w:szCs w:val="20"/>
                <w:color w:val="auto"/>
              </w:rPr>
            </w:pPr>
            <w:r>
              <w:rPr>
                <w:rFonts w:ascii="Times New Roman" w:cs="Times New Roman" w:eastAsia="Times New Roman" w:hAnsi="Times New Roman"/>
                <w:sz w:val="18"/>
                <w:szCs w:val="18"/>
                <w:color w:val="auto"/>
              </w:rPr>
              <w:t xml:space="preserve">(20) </w:t>
            </w:r>
            <w:r>
              <w:rPr>
                <w:rFonts w:ascii="Times New Roman" w:cs="Times New Roman" w:eastAsia="Times New Roman" w:hAnsi="Times New Roman"/>
                <w:sz w:val="18"/>
                <w:szCs w:val="18"/>
                <w:i w:val="1"/>
                <w:iCs w:val="1"/>
                <w:color w:val="auto"/>
              </w:rPr>
              <w:t>(b)</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0" w:type="dxa"/>
            <w:vAlign w:val="bottom"/>
            <w:gridSpan w:val="3"/>
            <w:vMerge w:val="continue"/>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8"/>
        </w:trPr>
        <w:tc>
          <w:tcPr>
            <w:tcW w:w="354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Total Diamondback Energy, Inc.</w:t>
            </w:r>
          </w:p>
        </w:tc>
        <w:tc>
          <w:tcPr>
            <w:tcW w:w="8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stockholders’ equity</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17,448</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7,474</w:t>
            </w: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12,526</w:t>
            </w: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37,448</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1,079</w:t>
            </w:r>
          </w:p>
        </w:tc>
        <w:tc>
          <w:tcPr>
            <w:tcW w:w="0" w:type="dxa"/>
            <w:vAlign w:val="bottom"/>
          </w:tcPr>
          <w:p>
            <w:pPr>
              <w:spacing w:after="0"/>
              <w:rPr>
                <w:sz w:val="1"/>
                <w:szCs w:val="1"/>
                <w:color w:val="auto"/>
              </w:rPr>
            </w:pPr>
          </w:p>
        </w:tc>
      </w:tr>
      <w:tr>
        <w:trPr>
          <w:trHeight w:val="171"/>
        </w:trPr>
        <w:tc>
          <w:tcPr>
            <w:tcW w:w="3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117" w:right="339" w:bottom="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equity</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18,527</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7,474</w:t>
            </w: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200"/>
              <w:spacing w:after="0"/>
              <w:rPr>
                <w:sz w:val="20"/>
                <w:szCs w:val="20"/>
                <w:color w:val="auto"/>
              </w:rPr>
            </w:pPr>
            <w:r>
              <w:rPr>
                <w:rFonts w:ascii="Times New Roman" w:cs="Times New Roman" w:eastAsia="Times New Roman" w:hAnsi="Times New Roman"/>
                <w:sz w:val="18"/>
                <w:szCs w:val="18"/>
                <w:color w:val="auto"/>
              </w:rPr>
              <w:t>12,526</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38,527</w:t>
            </w:r>
          </w:p>
        </w:tc>
      </w:tr>
      <w:tr>
        <w:trPr>
          <w:trHeight w:val="27"/>
        </w:trPr>
        <w:tc>
          <w:tcPr>
            <w:tcW w:w="34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35,637</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12,194</w:t>
            </w:r>
          </w:p>
        </w:tc>
        <w:tc>
          <w:tcPr>
            <w:tcW w:w="52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gridSpan w:val="2"/>
          </w:tcPr>
          <w:p>
            <w:pPr>
              <w:jc w:val="right"/>
              <w:ind w:right="1200"/>
              <w:spacing w:after="0"/>
              <w:rPr>
                <w:sz w:val="20"/>
                <w:szCs w:val="20"/>
                <w:color w:val="auto"/>
              </w:rPr>
            </w:pPr>
            <w:r>
              <w:rPr>
                <w:rFonts w:ascii="Times New Roman" w:cs="Times New Roman" w:eastAsia="Times New Roman" w:hAnsi="Times New Roman"/>
                <w:sz w:val="18"/>
                <w:szCs w:val="18"/>
                <w:color w:val="auto"/>
              </w:rPr>
              <w:t>18,253</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66,053</w:t>
            </w:r>
          </w:p>
        </w:tc>
      </w:tr>
      <w:tr>
        <w:trPr>
          <w:trHeight w:val="20"/>
        </w:trPr>
        <w:tc>
          <w:tcPr>
            <w:tcW w:w="3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51"/>
        </w:trPr>
        <w:tc>
          <w:tcPr>
            <w:tcW w:w="3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ind w:right="336"/>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34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40"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Combined Statement of Operations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800" w:type="dxa"/>
            <w:vAlign w:val="bottom"/>
            <w:tcBorders>
              <w:bottom w:val="single" w:sz="8" w:color="auto"/>
            </w:tcBorders>
            <w:gridSpan w:val="10"/>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c>
          <w:tcPr>
            <w:tcW w:w="3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4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gridSpan w:val="6"/>
          </w:tcPr>
          <w:p>
            <w:pPr>
              <w:jc w:val="right"/>
              <w:ind w:right="420"/>
              <w:spacing w:after="0" w:line="194" w:lineRule="exact"/>
              <w:rPr>
                <w:sz w:val="20"/>
                <w:szCs w:val="20"/>
                <w:color w:val="auto"/>
              </w:rPr>
            </w:pPr>
            <w:r>
              <w:rPr>
                <w:rFonts w:ascii="Times New Roman" w:cs="Times New Roman" w:eastAsia="Times New Roman" w:hAnsi="Times New Roman"/>
                <w:sz w:val="18"/>
                <w:szCs w:val="18"/>
                <w:b w:val="1"/>
                <w:bCs w:val="1"/>
                <w:color w:val="auto"/>
              </w:rPr>
              <w:t>Transaction Accounting</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60" w:type="dxa"/>
            <w:vAlign w:val="bottom"/>
            <w:gridSpan w:val="5"/>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00" w:type="dxa"/>
            <w:vAlign w:val="bottom"/>
            <w:gridSpan w:val="6"/>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4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Reclassification</w:t>
            </w: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9"/>
              </w:rPr>
              <w:t>Pro Forma</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Diamondback</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7"/>
              </w:rPr>
              <w:t>Adjustments</w:t>
            </w:r>
          </w:p>
        </w:tc>
        <w:tc>
          <w:tcPr>
            <w:tcW w:w="80" w:type="dxa"/>
            <w:vAlign w:val="bottom"/>
          </w:tcPr>
          <w:p>
            <w:pPr>
              <w:spacing w:after="0"/>
              <w:rPr>
                <w:sz w:val="18"/>
                <w:szCs w:val="18"/>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Pro Forma</w:t>
            </w:r>
          </w:p>
        </w:tc>
        <w:tc>
          <w:tcPr>
            <w:tcW w:w="0" w:type="dxa"/>
            <w:vAlign w:val="bottom"/>
          </w:tcPr>
          <w:p>
            <w:pPr>
              <w:spacing w:after="0"/>
              <w:rPr>
                <w:sz w:val="1"/>
                <w:szCs w:val="1"/>
                <w:color w:val="auto"/>
              </w:rPr>
            </w:pPr>
          </w:p>
        </w:tc>
      </w:tr>
      <w:tr>
        <w:trPr>
          <w:trHeight w:val="245"/>
        </w:trPr>
        <w:tc>
          <w:tcPr>
            <w:tcW w:w="4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Diamondback</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Endeavor</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Note 3 (a)</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Note 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Combined</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3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60" w:type="dxa"/>
            <w:vAlign w:val="bottom"/>
            <w:gridSpan w:val="14"/>
          </w:tcPr>
          <w:p>
            <w:pPr>
              <w:ind w:left="740"/>
              <w:spacing w:after="0"/>
              <w:rPr>
                <w:sz w:val="20"/>
                <w:szCs w:val="20"/>
                <w:color w:val="auto"/>
              </w:rPr>
            </w:pPr>
            <w:r>
              <w:rPr>
                <w:rFonts w:ascii="Times New Roman" w:cs="Times New Roman" w:eastAsia="Times New Roman" w:hAnsi="Times New Roman"/>
                <w:sz w:val="18"/>
                <w:szCs w:val="18"/>
                <w:b w:val="1"/>
                <w:bCs w:val="1"/>
                <w:color w:val="auto"/>
                <w:w w:val="97"/>
              </w:rPr>
              <w:t>(In millions, except per share amounts, shares in thousands)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Oil sales</w:t>
            </w: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2,908</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6,773</w:t>
            </w:r>
          </w:p>
        </w:tc>
        <w:tc>
          <w:tcPr>
            <w:tcW w:w="0" w:type="dxa"/>
            <w:vAlign w:val="bottom"/>
          </w:tcPr>
          <w:p>
            <w:pPr>
              <w:spacing w:after="0"/>
              <w:rPr>
                <w:sz w:val="1"/>
                <w:szCs w:val="1"/>
                <w:color w:val="auto"/>
              </w:rPr>
            </w:pPr>
          </w:p>
        </w:tc>
      </w:tr>
      <w:tr>
        <w:trPr>
          <w:trHeight w:val="216"/>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Natural gas sales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Natural gas liquid sales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653</w:t>
            </w:r>
          </w:p>
        </w:tc>
        <w:tc>
          <w:tcPr>
            <w:tcW w:w="0" w:type="dxa"/>
            <w:vAlign w:val="bottom"/>
          </w:tcPr>
          <w:p>
            <w:pPr>
              <w:spacing w:after="0"/>
              <w:rPr>
                <w:sz w:val="1"/>
                <w:szCs w:val="1"/>
                <w:color w:val="auto"/>
              </w:rPr>
            </w:pPr>
          </w:p>
        </w:tc>
      </w:tr>
      <w:tr>
        <w:trPr>
          <w:trHeight w:val="216"/>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Natural gas and NGL sales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of purchased oil</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16"/>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 company revenue</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operating income</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7"/>
        </w:trPr>
        <w:tc>
          <w:tcPr>
            <w:tcW w:w="4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7,923</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operating expenses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853</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Production and ad valorem taxes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455</w:t>
            </w:r>
          </w:p>
        </w:tc>
        <w:tc>
          <w:tcPr>
            <w:tcW w:w="0" w:type="dxa"/>
            <w:vAlign w:val="bottom"/>
          </w:tcPr>
          <w:p>
            <w:pPr>
              <w:spacing w:after="0"/>
              <w:rPr>
                <w:sz w:val="1"/>
                <w:szCs w:val="1"/>
                <w:color w:val="auto"/>
              </w:rPr>
            </w:pPr>
          </w:p>
        </w:tc>
      </w:tr>
      <w:tr>
        <w:trPr>
          <w:trHeight w:val="216"/>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Production taxes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Gathering, processing and transportation</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16"/>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Purchased oil expense</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depletion, amortization and accretion</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428</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2,030</w:t>
            </w:r>
          </w:p>
        </w:tc>
        <w:tc>
          <w:tcPr>
            <w:tcW w:w="0" w:type="dxa"/>
            <w:vAlign w:val="bottom"/>
          </w:tcPr>
          <w:p>
            <w:pPr>
              <w:spacing w:after="0"/>
              <w:rPr>
                <w:sz w:val="1"/>
                <w:szCs w:val="1"/>
                <w:color w:val="auto"/>
              </w:rPr>
            </w:pPr>
          </w:p>
        </w:tc>
      </w:tr>
      <w:tr>
        <w:trPr>
          <w:trHeight w:val="216"/>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Merger and integration expenses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 company operating expenses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7"/>
        </w:trPr>
        <w:tc>
          <w:tcPr>
            <w:tcW w:w="4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428</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4,128</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(j)</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(loss) on derivative instruments, net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(loss) on extinguishment of debt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(loss) from equity investments, net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 costs</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3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2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1,933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3,684</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i w:val="1"/>
                <w:iCs w:val="1"/>
                <w:color w:val="auto"/>
              </w:rPr>
              <w:t>(k)</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2,435</w:t>
            </w:r>
          </w:p>
        </w:tc>
        <w:tc>
          <w:tcPr>
            <w:tcW w:w="0" w:type="dxa"/>
            <w:vAlign w:val="bottom"/>
          </w:tcPr>
          <w:p>
            <w:pPr>
              <w:spacing w:after="0"/>
              <w:rPr>
                <w:sz w:val="1"/>
                <w:szCs w:val="1"/>
                <w:color w:val="auto"/>
              </w:rPr>
            </w:pPr>
          </w:p>
        </w:tc>
      </w:tr>
      <w:tr>
        <w:trPr>
          <w:trHeight w:val="27"/>
        </w:trPr>
        <w:tc>
          <w:tcPr>
            <w:tcW w:w="4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1,249</w:t>
            </w:r>
          </w:p>
        </w:tc>
        <w:tc>
          <w:tcPr>
            <w:tcW w:w="0" w:type="dxa"/>
            <w:vAlign w:val="bottom"/>
          </w:tcPr>
          <w:p>
            <w:pPr>
              <w:spacing w:after="0"/>
              <w:rPr>
                <w:sz w:val="1"/>
                <w:szCs w:val="1"/>
                <w:color w:val="auto"/>
              </w:rPr>
            </w:pPr>
          </w:p>
        </w:tc>
      </w:tr>
      <w:tr>
        <w:trPr>
          <w:trHeight w:val="223"/>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2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194"/>
        </w:trPr>
        <w:tc>
          <w:tcPr>
            <w:tcW w:w="4340" w:type="dxa"/>
            <w:vAlign w:val="bottom"/>
            <w:tcBorders>
              <w:top w:val="single" w:sz="8" w:color="CCEEFF"/>
            </w:tcBorders>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income (loss) attributable to Diamondback Energy,</w:t>
            </w:r>
          </w:p>
        </w:tc>
        <w:tc>
          <w:tcPr>
            <w:tcW w:w="10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3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Inc.</w:t>
            </w: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(119)</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(335)</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1,151</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(loss) per common share:</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16"/>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common shares outstanding:</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178,418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117,267</w:t>
            </w: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(l)</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295,685</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178,418</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117,267</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295,685</w:t>
            </w:r>
          </w:p>
        </w:tc>
        <w:tc>
          <w:tcPr>
            <w:tcW w:w="0" w:type="dxa"/>
            <w:vAlign w:val="bottom"/>
          </w:tcPr>
          <w:p>
            <w:pPr>
              <w:spacing w:after="0"/>
              <w:rPr>
                <w:sz w:val="1"/>
                <w:szCs w:val="1"/>
                <w:color w:val="auto"/>
              </w:rPr>
            </w:pPr>
          </w:p>
        </w:tc>
      </w:tr>
      <w:tr>
        <w:trPr>
          <w:trHeight w:val="557"/>
        </w:trPr>
        <w:tc>
          <w:tcPr>
            <w:tcW w:w="4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4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Combined Statement of Operations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760" w:type="dxa"/>
            <w:vAlign w:val="bottom"/>
            <w:tcBorders>
              <w:bottom w:val="single" w:sz="8" w:color="auto"/>
            </w:tcBorders>
            <w:gridSpan w:val="8"/>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5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4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gridSpan w:val="5"/>
          </w:tcPr>
          <w:p>
            <w:pPr>
              <w:jc w:val="right"/>
              <w:ind w:right="420"/>
              <w:spacing w:after="0" w:line="194" w:lineRule="exact"/>
              <w:rPr>
                <w:sz w:val="20"/>
                <w:szCs w:val="20"/>
                <w:color w:val="auto"/>
              </w:rPr>
            </w:pPr>
            <w:r>
              <w:rPr>
                <w:rFonts w:ascii="Times New Roman" w:cs="Times New Roman" w:eastAsia="Times New Roman" w:hAnsi="Times New Roman"/>
                <w:sz w:val="18"/>
                <w:szCs w:val="18"/>
                <w:b w:val="1"/>
                <w:bCs w:val="1"/>
                <w:color w:val="auto"/>
              </w:rPr>
              <w:t>Transaction Accounting</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320" w:type="dxa"/>
            <w:vAlign w:val="bottom"/>
            <w:gridSpan w:val="6"/>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00" w:type="dxa"/>
            <w:vAlign w:val="bottom"/>
          </w:tcPr>
          <w:p>
            <w:pPr>
              <w:spacing w:after="0"/>
              <w:rPr>
                <w:sz w:val="21"/>
                <w:szCs w:val="21"/>
                <w:color w:val="auto"/>
              </w:rPr>
            </w:pPr>
          </w:p>
        </w:tc>
        <w:tc>
          <w:tcPr>
            <w:tcW w:w="2500" w:type="dxa"/>
            <w:vAlign w:val="bottom"/>
            <w:gridSpan w:val="5"/>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4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Reclassification</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Pro Forma</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2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Diamondback</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7"/>
              </w:rPr>
              <w:t>Adjustments</w:t>
            </w:r>
          </w:p>
        </w:tc>
        <w:tc>
          <w:tcPr>
            <w:tcW w:w="120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Pro Forma</w:t>
            </w:r>
          </w:p>
        </w:tc>
        <w:tc>
          <w:tcPr>
            <w:tcW w:w="0" w:type="dxa"/>
            <w:vAlign w:val="bottom"/>
          </w:tcPr>
          <w:p>
            <w:pPr>
              <w:spacing w:after="0"/>
              <w:rPr>
                <w:sz w:val="1"/>
                <w:szCs w:val="1"/>
                <w:color w:val="auto"/>
              </w:rPr>
            </w:pPr>
          </w:p>
        </w:tc>
      </w:tr>
      <w:tr>
        <w:trPr>
          <w:trHeight w:val="245"/>
        </w:trPr>
        <w:tc>
          <w:tcPr>
            <w:tcW w:w="4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Diamondback</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Endeavor</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Note 3 (a)</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Note 3</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Combined</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80" w:type="dxa"/>
            <w:vAlign w:val="bottom"/>
            <w:gridSpan w:val="12"/>
          </w:tcPr>
          <w:p>
            <w:pPr>
              <w:ind w:left="40"/>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 shares in thousands)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1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Oil sales</w:t>
            </w:r>
          </w:p>
        </w:tc>
        <w:tc>
          <w:tcPr>
            <w:tcW w:w="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7,279</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5,452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12,731</w:t>
            </w:r>
          </w:p>
        </w:tc>
        <w:tc>
          <w:tcPr>
            <w:tcW w:w="0" w:type="dxa"/>
            <w:vAlign w:val="bottom"/>
          </w:tcPr>
          <w:p>
            <w:pPr>
              <w:spacing w:after="0"/>
              <w:rPr>
                <w:sz w:val="1"/>
                <w:szCs w:val="1"/>
                <w:color w:val="auto"/>
              </w:rPr>
            </w:pPr>
          </w:p>
        </w:tc>
      </w:tr>
      <w:tr>
        <w:trPr>
          <w:trHeight w:val="216"/>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Natural gas sales</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Natural gas liquid sales</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524</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1,211</w:t>
            </w:r>
          </w:p>
        </w:tc>
        <w:tc>
          <w:tcPr>
            <w:tcW w:w="0" w:type="dxa"/>
            <w:vAlign w:val="bottom"/>
          </w:tcPr>
          <w:p>
            <w:pPr>
              <w:spacing w:after="0"/>
              <w:rPr>
                <w:sz w:val="1"/>
                <w:szCs w:val="1"/>
                <w:color w:val="auto"/>
              </w:rPr>
            </w:pPr>
          </w:p>
        </w:tc>
      </w:tr>
      <w:tr>
        <w:trPr>
          <w:trHeight w:val="216"/>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Natural gas and NGL sales</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(713)</w:t>
            </w: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of purchased oil</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 company revenue</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operating income</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7"/>
        </w:trPr>
        <w:tc>
          <w:tcPr>
            <w:tcW w:w="4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6,187</w:t>
            </w:r>
          </w:p>
        </w:tc>
        <w:tc>
          <w:tcPr>
            <w:tcW w:w="1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14,599</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operating expenses</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1,465</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Production and ad valorem taxes</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395</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920</w:t>
            </w:r>
          </w:p>
        </w:tc>
        <w:tc>
          <w:tcPr>
            <w:tcW w:w="0" w:type="dxa"/>
            <w:vAlign w:val="bottom"/>
          </w:tcPr>
          <w:p>
            <w:pPr>
              <w:spacing w:after="0"/>
              <w:rPr>
                <w:sz w:val="1"/>
                <w:szCs w:val="1"/>
                <w:color w:val="auto"/>
              </w:rPr>
            </w:pPr>
          </w:p>
        </w:tc>
      </w:tr>
      <w:tr>
        <w:trPr>
          <w:trHeight w:val="216"/>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Production taxes</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Gathering, processing and transportation</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16"/>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Purchased oil expense</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depletion, amortization and accretion</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932</w:t>
            </w: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3,795</w:t>
            </w:r>
          </w:p>
        </w:tc>
        <w:tc>
          <w:tcPr>
            <w:tcW w:w="0" w:type="dxa"/>
            <w:vAlign w:val="bottom"/>
          </w:tcPr>
          <w:p>
            <w:pPr>
              <w:spacing w:after="0"/>
              <w:rPr>
                <w:sz w:val="1"/>
                <w:szCs w:val="1"/>
                <w:color w:val="auto"/>
              </w:rPr>
            </w:pPr>
          </w:p>
        </w:tc>
      </w:tr>
      <w:tr>
        <w:trPr>
          <w:trHeight w:val="216"/>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Merger and integration expenses</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110</w:t>
            </w: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(i)(m)</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16"/>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 company operating expenses</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from inventory write down</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loss on sale of assets, net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7"/>
        </w:trPr>
        <w:tc>
          <w:tcPr>
            <w:tcW w:w="4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2,234</w:t>
            </w:r>
          </w:p>
        </w:tc>
        <w:tc>
          <w:tcPr>
            <w:tcW w:w="1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1,042</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7,118</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i w:val="1"/>
                <w:iCs w:val="1"/>
                <w:color w:val="auto"/>
              </w:rPr>
              <w:t>(j)</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16"/>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(loss) on derivative instruments, net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16"/>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(loss) on extinguishment of debt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4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i w:val="1"/>
                <w:iCs w:val="1"/>
                <w:color w:val="auto"/>
              </w:rPr>
              <w:t>(d)</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(loss) from equity investments, net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7"/>
        </w:trPr>
        <w:tc>
          <w:tcPr>
            <w:tcW w:w="4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627</w:t>
            </w: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(k)</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1,551</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tax expense (benefit)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expense (benefit)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194"/>
        </w:trPr>
        <w:tc>
          <w:tcPr>
            <w:tcW w:w="41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income (loss) attributable to Diamondback</w:t>
            </w:r>
          </w:p>
        </w:tc>
        <w:tc>
          <w:tcPr>
            <w:tcW w:w="80" w:type="dxa"/>
            <w:vAlign w:val="bottom"/>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9"/>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Energy, Inc.</w:t>
            </w:r>
          </w:p>
        </w:tc>
        <w:tc>
          <w:tcPr>
            <w:tcW w:w="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w:t>
            </w:r>
          </w:p>
        </w:tc>
        <w:tc>
          <w:tcPr>
            <w:tcW w:w="140" w:type="dxa"/>
            <w:vAlign w:val="bottom"/>
            <w:shd w:val="clear" w:color="auto" w:fill="CCEEFF"/>
          </w:tcPr>
          <w:p>
            <w:pPr>
              <w:spacing w:after="0"/>
              <w:rPr>
                <w:sz w:val="24"/>
                <w:szCs w:val="24"/>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3,984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(1,718)</w:t>
            </w: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5,409</w:t>
            </w: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(loss) per common share:</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18.11</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18.11</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common shares outstanding:</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179,999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117,267</w:t>
            </w: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297,266</w:t>
            </w:r>
          </w:p>
        </w:tc>
        <w:tc>
          <w:tcPr>
            <w:tcW w:w="0" w:type="dxa"/>
            <w:vAlign w:val="bottom"/>
          </w:tcPr>
          <w:p>
            <w:pPr>
              <w:spacing w:after="0"/>
              <w:rPr>
                <w:sz w:val="1"/>
                <w:szCs w:val="1"/>
                <w:color w:val="auto"/>
              </w:rPr>
            </w:pPr>
          </w:p>
        </w:tc>
      </w:tr>
      <w:tr>
        <w:trPr>
          <w:trHeight w:val="236"/>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179,999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117,267</w:t>
            </w: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(l)</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297,266</w:t>
            </w:r>
          </w:p>
        </w:tc>
        <w:tc>
          <w:tcPr>
            <w:tcW w:w="0" w:type="dxa"/>
            <w:vAlign w:val="bottom"/>
          </w:tcPr>
          <w:p>
            <w:pPr>
              <w:spacing w:after="0"/>
              <w:rPr>
                <w:sz w:val="1"/>
                <w:szCs w:val="1"/>
                <w:color w:val="auto"/>
              </w:rPr>
            </w:pPr>
          </w:p>
        </w:tc>
      </w:tr>
      <w:tr>
        <w:trPr>
          <w:trHeight w:val="537"/>
        </w:trPr>
        <w:tc>
          <w:tcPr>
            <w:tcW w:w="4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4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PRO FORMA COMBINED FINANCIAL STATEMENTS</w:t>
      </w:r>
    </w:p>
    <w:p>
      <w:pPr>
        <w:spacing w:after="0" w:line="225" w:lineRule="exact"/>
        <w:rPr>
          <w:sz w:val="20"/>
          <w:szCs w:val="20"/>
          <w:color w:val="auto"/>
        </w:rPr>
      </w:pPr>
    </w:p>
    <w:p>
      <w:pPr>
        <w:ind w:left="600" w:hanging="592"/>
        <w:spacing w:after="0"/>
        <w:tabs>
          <w:tab w:leader="none" w:pos="60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unaudited pro forma combined financial statements have been derived from the historical consolidated financial statements of Diamondback and Endeavor. Certain of Endeavor’s historical amounts have been reclassified to conform to our financial statement presentation, and pro forma adjustments have been made to reflect the Acquisition and certain transaction accounting adjustments, as discussed further in Note 3 below. The pro forma balance sheet gives effect to the Acquisition as if it had been completed on June 30, 2024. The pro forma statements of operations for the six months ended June 30, 2024 and for the year ended December 31, 2023, give pro forma effect to the Acquisition as if it had occurred on January 1, 2023, the beginning of the earliest period presented. The pro forma financial statements should be read in conjunction with (i) Diamondback’s historical consolidated financial statements and the notes thereto included in Diamondback’s Quarterly Report on Form 10-Q for the period ended June 30, 2024 and Diamondback’s Annual Report on Form 10-K for the year ended December 31, 2023 and (ii) Endeavor’s historical unaudited consolidated financial statements for the six months ended June 30, 2024 and Endeavor’s historical audited consolidated financial statements as of December 31, 2023 and 2022 and for the year ended December 31, 2023 and the notes thereto, which such information in the foregoing clause (ii) are attached as Exhibit 99.1 to, and incorporated by reference into, respectively, the Form 8-K/A to which these pro forma financial statements are included as an exhibit.</w:t>
      </w:r>
    </w:p>
    <w:p>
      <w:pPr>
        <w:spacing w:after="0" w:line="192"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The Acquisition and the related transaction accounting adjustments are described in the accompanying notes to the pro forma financial statements. In the opinion of our management, all material adjustments have been made that are necessary to present fairly, in accordance with Article 11 of Regulation S-X of the SEC, the pro forma financial statements. The pro forma financial statements (i) do not purport to be indicative of the financial position or results of operations of the combined company that would have occurred if the Acquisition had occurred on the dates indicated, (ii) are not indicative of our future financial position or results of operations and (iii) do not reflect the actual pro forma financial position of Diamondback as of the Closing Date. In addition, future results may vary significantly from those reflected in such statements.</w:t>
      </w:r>
    </w:p>
    <w:p>
      <w:pPr>
        <w:spacing w:after="0" w:line="183" w:lineRule="exact"/>
        <w:rPr>
          <w:sz w:val="20"/>
          <w:szCs w:val="20"/>
          <w:color w:val="auto"/>
        </w:rPr>
      </w:pPr>
    </w:p>
    <w:p>
      <w:pPr>
        <w:ind w:left="600" w:hanging="592"/>
        <w:spacing w:after="0"/>
        <w:tabs>
          <w:tab w:leader="none" w:pos="60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PRELIMINARY ACQUISITION ACCOUNTING</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On September 10, 2024, we completed the Acquisition. The preliminary value of the Acquisition consideration set forth below of approximately $27.7 billion is based on the closing share price of the common stock as of the Closing Date. The preliminary Acquisition consideration set forth below consists of approximately 117.27 million shares of our common stock and $7.6 billion of cash (on the assumption that the Acquisition occurred on June 30, 2024), subject to customary closing and post-closing adjustments.</w:t>
      </w:r>
    </w:p>
    <w:p>
      <w:pPr>
        <w:spacing w:after="0" w:line="1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have determined that we are the accounting acquirer to the Acquisition which will be accounted for under the acquisition method of accounting for business combinations in accordance with Accounting Standards Codification 805, Business Combinations (“ASC 805”). The allocation of the purchase price with respect to the Acquisition is based upon our management’s estimates of and assumptions related to the fair values of assets acquired and liabilities assumed on the Closing Date, using currently available information. The final purchase price allocation and the resulting effect on our financial position and results of operations may differ significantly from the pro forma amounts included herein.</w:t>
      </w:r>
    </w:p>
    <w:p>
      <w:pPr>
        <w:spacing w:after="0" w:line="183"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final purchase price allocation for the business combination may include adjustments to estimated amounts or recognition of additional assets acquired or liabilities assumed as more detailed analyses are completed and additional information is obtained about the facts and circumstances that existed as of the Closing Date. We expect to finalize the purchase price allocation within one year from the Closing Date.</w:t>
      </w:r>
    </w:p>
    <w:p>
      <w:pPr>
        <w:spacing w:after="0" w:line="176"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preliminary purchase price allocation is subject to change due to several factors, including, but not limited to changes in the estimated fair value of Endeavor’s assets acquired and liabilities assumed as of the Closing Date, which could result from our additional valuation analysis, changes in reserves estimates, other property and equipment estimates, discount rates, and other factors.</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5" w:name="page36"/>
    <w:bookmarkEnd w:id="35"/>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preliminary value of the Acquisition consideration and purchase price allocation of the assets acquired and the liabilities assumed: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(In millions, except</w:t>
            </w:r>
          </w:p>
        </w:tc>
      </w:tr>
      <w:tr>
        <w:trPr>
          <w:trHeight w:val="216"/>
        </w:trPr>
        <w:tc>
          <w:tcPr>
            <w:tcW w:w="9200" w:type="dxa"/>
            <w:vAlign w:val="bottom"/>
          </w:tcPr>
          <w:p>
            <w:pPr>
              <w:spacing w:after="0"/>
              <w:rPr>
                <w:sz w:val="18"/>
                <w:szCs w:val="18"/>
                <w:color w:val="auto"/>
              </w:rPr>
            </w:pPr>
          </w:p>
        </w:tc>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per share amount, shares</w:t>
            </w:r>
          </w:p>
        </w:tc>
      </w:tr>
      <w:tr>
        <w:trPr>
          <w:trHeight w:val="220"/>
        </w:trPr>
        <w:tc>
          <w:tcPr>
            <w:tcW w:w="9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Acquisition Consideration</w:t>
            </w:r>
          </w:p>
        </w:tc>
        <w:tc>
          <w:tcPr>
            <w:tcW w:w="160" w:type="dxa"/>
            <w:vAlign w:val="bottom"/>
          </w:tcPr>
          <w:p>
            <w:pPr>
              <w:spacing w:after="0"/>
              <w:rPr>
                <w:sz w:val="19"/>
                <w:szCs w:val="19"/>
                <w:color w:val="auto"/>
              </w:rPr>
            </w:pPr>
          </w:p>
        </w:tc>
        <w:tc>
          <w:tcPr>
            <w:tcW w:w="18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34"/>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Shares of Diamondback common stock to be issued at closing</w:t>
            </w:r>
          </w:p>
        </w:tc>
        <w:tc>
          <w:tcPr>
            <w:tcW w:w="1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117,267</w:t>
            </w:r>
          </w:p>
        </w:tc>
        <w:tc>
          <w:tcPr>
            <w:tcW w:w="100" w:type="dxa"/>
            <w:vAlign w:val="bottom"/>
          </w:tcPr>
          <w:p>
            <w:pPr>
              <w:spacing w:after="0"/>
              <w:rPr>
                <w:sz w:val="20"/>
                <w:szCs w:val="20"/>
                <w:color w:val="auto"/>
              </w:rPr>
            </w:pPr>
          </w:p>
        </w:tc>
      </w:tr>
      <w:tr>
        <w:trPr>
          <w:trHeight w:val="223"/>
        </w:trPr>
        <w:tc>
          <w:tcPr>
            <w:tcW w:w="9200" w:type="dxa"/>
            <w:vAlign w:val="bottom"/>
            <w:tcBorders>
              <w:bottom w:val="single" w:sz="8" w:color="CCEEFF"/>
            </w:tcBorders>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Closing price per common share of Diamondback</w:t>
            </w:r>
            <w:r>
              <w:rPr>
                <w:rFonts w:ascii="Times New Roman" w:cs="Times New Roman" w:eastAsia="Times New Roman" w:hAnsi="Times New Roman"/>
                <w:sz w:val="25"/>
                <w:szCs w:val="25"/>
                <w:color w:val="auto"/>
                <w:vertAlign w:val="superscript"/>
              </w:rPr>
              <w:t>(1)</w:t>
            </w: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Common Stock Consideration</w:t>
            </w: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20,110</w:t>
            </w:r>
          </w:p>
        </w:tc>
        <w:tc>
          <w:tcPr>
            <w:tcW w:w="100" w:type="dxa"/>
            <w:vAlign w:val="bottom"/>
          </w:tcPr>
          <w:p>
            <w:pPr>
              <w:spacing w:after="0"/>
              <w:rPr>
                <w:sz w:val="18"/>
                <w:szCs w:val="18"/>
                <w:color w:val="auto"/>
              </w:rPr>
            </w:pPr>
          </w:p>
        </w:tc>
      </w:tr>
      <w:tr>
        <w:trPr>
          <w:trHeight w:val="21"/>
        </w:trPr>
        <w:tc>
          <w:tcPr>
            <w:tcW w:w="9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9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Base Cash Amount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tcPr>
          <w:p>
            <w:pPr>
              <w:spacing w:after="0"/>
              <w:rPr>
                <w:sz w:val="18"/>
                <w:szCs w:val="18"/>
                <w:color w:val="auto"/>
              </w:rPr>
            </w:pPr>
          </w:p>
        </w:tc>
      </w:tr>
      <w:tr>
        <w:trPr>
          <w:trHeight w:val="223"/>
        </w:trPr>
        <w:tc>
          <w:tcPr>
            <w:tcW w:w="92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Preliminary Closing Adjustments</w:t>
            </w:r>
            <w:r>
              <w:rPr>
                <w:rFonts w:ascii="Times New Roman" w:cs="Times New Roman" w:eastAsia="Times New Roman" w:hAnsi="Times New Roman"/>
                <w:sz w:val="25"/>
                <w:szCs w:val="25"/>
                <w:color w:val="auto"/>
                <w:vertAlign w:val="superscript"/>
              </w:rPr>
              <w:t>(2)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(416)</w:t>
            </w:r>
          </w:p>
        </w:tc>
      </w:tr>
      <w:tr>
        <w:trPr>
          <w:trHeight w:val="216"/>
        </w:trPr>
        <w:tc>
          <w:tcPr>
            <w:tcW w:w="92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Cash Consideration</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7,584</w:t>
            </w:r>
          </w:p>
        </w:tc>
        <w:tc>
          <w:tcPr>
            <w:tcW w:w="100" w:type="dxa"/>
            <w:vAlign w:val="bottom"/>
            <w:tcBorders>
              <w:top w:val="single" w:sz="8" w:color="CCEEFF"/>
            </w:tcBorders>
          </w:tcPr>
          <w:p>
            <w:pPr>
              <w:spacing w:after="0"/>
              <w:rPr>
                <w:sz w:val="18"/>
                <w:szCs w:val="18"/>
                <w:color w:val="auto"/>
              </w:rPr>
            </w:pPr>
          </w:p>
        </w:tc>
      </w:tr>
      <w:tr>
        <w:trPr>
          <w:trHeight w:val="21"/>
        </w:trPr>
        <w:tc>
          <w:tcPr>
            <w:tcW w:w="9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9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Acquisition Consideration</w:t>
            </w: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27,694</w:t>
            </w:r>
          </w:p>
        </w:tc>
        <w:tc>
          <w:tcPr>
            <w:tcW w:w="100" w:type="dxa"/>
            <w:vAlign w:val="bottom"/>
          </w:tcPr>
          <w:p>
            <w:pPr>
              <w:spacing w:after="0"/>
              <w:rPr>
                <w:sz w:val="18"/>
                <w:szCs w:val="18"/>
                <w:color w:val="auto"/>
              </w:rPr>
            </w:pPr>
          </w:p>
        </w:tc>
      </w:tr>
      <w:tr>
        <w:trPr>
          <w:trHeight w:val="20"/>
        </w:trPr>
        <w:tc>
          <w:tcPr>
            <w:tcW w:w="9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ind w:left="260" w:hanging="252"/>
        <w:spacing w:after="0"/>
        <w:tabs>
          <w:tab w:leader="none" w:pos="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closing share price of our common stock on the Closing Date.</w:t>
      </w:r>
    </w:p>
    <w:p>
      <w:pPr>
        <w:spacing w:after="0" w:line="9" w:lineRule="exact"/>
        <w:rPr>
          <w:rFonts w:ascii="Times New Roman" w:cs="Times New Roman" w:eastAsia="Times New Roman" w:hAnsi="Times New Roman"/>
          <w:sz w:val="18"/>
          <w:szCs w:val="18"/>
          <w:color w:val="auto"/>
        </w:rPr>
      </w:pPr>
    </w:p>
    <w:p>
      <w:pPr>
        <w:jc w:val="both"/>
        <w:ind w:firstLine="8"/>
        <w:spacing w:after="0" w:line="253" w:lineRule="auto"/>
        <w:tabs>
          <w:tab w:leader="none" w:pos="26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the amount by which distributions paid or accrued to Endeavor’s equity holders as of June 30, 2024 exceeded a Permitted Distribution Amount as defined by the Merger Agreement (resulting in approximately $7.6 billion in cash consideration due to the holders of the Endeavor Interests) and (ii) $29 million for the repayment of Endeavor’s $12 million Net Debt Position on the Closing Date and the associated $17 million Make-Whole Amount due upon retirement of Endeavor’s indebtedness.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Accounts receivable - joint interest and other, net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Accounts receivable - oil and natural gas sales,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Inventories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Oil and natural gas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Other property, equipment and land</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assets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assets to be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b w:val="1"/>
          <w:bCs w:val="1"/>
          <w:color w:val="auto"/>
        </w:rPr>
        <w:t>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Accounts payable - trade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Accrued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Other accrued liabilities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Revenues and royalties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Distributions payable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Income taxes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Derivative instruments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Asset retirement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Deferred income taxes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liabilities to be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assets to be acquired</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u w:val="single" w:color="auto"/>
          <w:color w:val="auto"/>
        </w:rPr>
        <w:t>Preliminary Purchase Price Allocation</w:t>
      </w:r>
    </w:p>
    <w:p>
      <w:pPr>
        <w:spacing w:after="0" w:line="3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688</w:t>
            </w:r>
          </w:p>
        </w:tc>
      </w:tr>
      <w:tr>
        <w:trPr>
          <w:trHeight w:val="216"/>
        </w:trPr>
        <w:tc>
          <w:tcPr>
            <w:tcW w:w="1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35,267</w:t>
            </w:r>
          </w:p>
        </w:tc>
      </w:tr>
      <w:tr>
        <w:trPr>
          <w:trHeight w:val="216"/>
        </w:trPr>
        <w:tc>
          <w:tcPr>
            <w:tcW w:w="128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765</w:t>
            </w:r>
          </w:p>
        </w:tc>
      </w:tr>
      <w:tr>
        <w:trPr>
          <w:trHeight w:val="241"/>
        </w:trPr>
        <w:tc>
          <w:tcPr>
            <w:tcW w:w="12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20"/>
                <w:szCs w:val="20"/>
                <w:color w:val="auto"/>
              </w:rPr>
            </w:pPr>
          </w:p>
        </w:tc>
      </w:tr>
      <w:tr>
        <w:trPr>
          <w:trHeight w:val="223"/>
        </w:trPr>
        <w:tc>
          <w:tcPr>
            <w:tcW w:w="128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37,031</w:t>
            </w:r>
          </w:p>
        </w:tc>
        <w:tc>
          <w:tcPr>
            <w:tcW w:w="20" w:type="dxa"/>
            <w:vAlign w:val="bottom"/>
          </w:tcPr>
          <w:p>
            <w:pPr>
              <w:spacing w:after="0"/>
              <w:rPr>
                <w:sz w:val="19"/>
                <w:szCs w:val="19"/>
                <w:color w:val="auto"/>
              </w:rPr>
            </w:pPr>
          </w:p>
        </w:tc>
      </w:tr>
      <w:tr>
        <w:trPr>
          <w:trHeight w:val="414"/>
        </w:trPr>
        <w:tc>
          <w:tcPr>
            <w:tcW w:w="128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270</w:t>
            </w:r>
          </w:p>
        </w:tc>
      </w:tr>
      <w:tr>
        <w:trPr>
          <w:trHeight w:val="216"/>
        </w:trPr>
        <w:tc>
          <w:tcPr>
            <w:tcW w:w="128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128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759</w:t>
            </w:r>
          </w:p>
        </w:tc>
      </w:tr>
      <w:tr>
        <w:trPr>
          <w:trHeight w:val="216"/>
        </w:trPr>
        <w:tc>
          <w:tcPr>
            <w:tcW w:w="128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231</w:t>
            </w:r>
          </w:p>
        </w:tc>
      </w:tr>
      <w:tr>
        <w:trPr>
          <w:trHeight w:val="216"/>
        </w:trPr>
        <w:tc>
          <w:tcPr>
            <w:tcW w:w="128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161</w:t>
            </w:r>
          </w:p>
        </w:tc>
      </w:tr>
      <w:tr>
        <w:trPr>
          <w:trHeight w:val="216"/>
        </w:trPr>
        <w:tc>
          <w:tcPr>
            <w:tcW w:w="1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257</w:t>
            </w:r>
          </w:p>
        </w:tc>
      </w:tr>
      <w:tr>
        <w:trPr>
          <w:trHeight w:val="216"/>
        </w:trPr>
        <w:tc>
          <w:tcPr>
            <w:tcW w:w="1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7,375</w:t>
            </w:r>
          </w:p>
        </w:tc>
        <w:tc>
          <w:tcPr>
            <w:tcW w:w="20" w:type="dxa"/>
            <w:vAlign w:val="bottom"/>
          </w:tcPr>
          <w:p>
            <w:pPr>
              <w:spacing w:after="0"/>
              <w:rPr>
                <w:sz w:val="18"/>
                <w:szCs w:val="18"/>
                <w:color w:val="auto"/>
              </w:rPr>
            </w:pPr>
          </w:p>
        </w:tc>
      </w:tr>
      <w:tr>
        <w:trPr>
          <w:trHeight w:val="241"/>
        </w:trPr>
        <w:tc>
          <w:tcPr>
            <w:tcW w:w="12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20"/>
                <w:szCs w:val="20"/>
                <w:color w:val="auto"/>
              </w:rPr>
            </w:pPr>
          </w:p>
        </w:tc>
      </w:tr>
      <w:tr>
        <w:trPr>
          <w:trHeight w:val="223"/>
        </w:trPr>
        <w:tc>
          <w:tcPr>
            <w:tcW w:w="1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9,337</w:t>
            </w:r>
          </w:p>
        </w:tc>
        <w:tc>
          <w:tcPr>
            <w:tcW w:w="20" w:type="dxa"/>
            <w:vAlign w:val="bottom"/>
          </w:tcPr>
          <w:p>
            <w:pPr>
              <w:spacing w:after="0"/>
              <w:rPr>
                <w:sz w:val="19"/>
                <w:szCs w:val="19"/>
                <w:color w:val="auto"/>
              </w:rPr>
            </w:pPr>
          </w:p>
        </w:tc>
      </w:tr>
      <w:tr>
        <w:trPr>
          <w:trHeight w:val="216"/>
        </w:trPr>
        <w:tc>
          <w:tcPr>
            <w:tcW w:w="128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27,694</w:t>
            </w:r>
          </w:p>
        </w:tc>
        <w:tc>
          <w:tcPr>
            <w:tcW w:w="20" w:type="dxa"/>
            <w:vAlign w:val="bottom"/>
            <w:tcBorders>
              <w:bottom w:val="single" w:sz="8" w:color="auto"/>
            </w:tcBorders>
          </w:tcPr>
          <w:p>
            <w:pPr>
              <w:spacing w:after="0"/>
              <w:rPr>
                <w:sz w:val="18"/>
                <w:szCs w:val="18"/>
                <w:color w:val="auto"/>
              </w:rPr>
            </w:pP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40" w:space="720"/>
            <w:col w:w="3080"/>
          </w:cols>
          <w:pgMar w:left="320" w:top="121" w:right="339" w:bottom="1440" w:gutter="0" w:footer="0" w:header="0"/>
          <w:type w:val="continuous"/>
        </w:sectPr>
      </w:pP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ind w:left="600" w:hanging="592"/>
        <w:spacing w:after="0"/>
        <w:tabs>
          <w:tab w:leader="none" w:pos="60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 FORMA ADJUSTMENTS AND ASSUMPTIONS</w:t>
      </w:r>
    </w:p>
    <w:p>
      <w:pPr>
        <w:spacing w:after="0" w:line="22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pro forma financial statements have been adjusted to reflect reclassifications of Endeavor’s financial statements to conform to our financial statement presentation, adjustments to historical book values of Endeavor to their preliminary estimated fair values in accordance with the acquisition method of accounting, the value of the Acquisition consideration, estimated direct transaction costs, and the estimated tax impacts of pro forma adjustments. These adjustments include the following:</w:t>
      </w:r>
    </w:p>
    <w:p>
      <w:pPr>
        <w:spacing w:after="0" w:line="180" w:lineRule="exact"/>
        <w:rPr>
          <w:sz w:val="20"/>
          <w:szCs w:val="20"/>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reclassifications were made as a result of the transaction to conform to our presentation:</w:t>
      </w:r>
    </w:p>
    <w:p>
      <w:pPr>
        <w:spacing w:after="0" w:line="221" w:lineRule="exact"/>
        <w:rPr>
          <w:rFonts w:ascii="Times New Roman" w:cs="Times New Roman" w:eastAsia="Times New Roman" w:hAnsi="Times New Roman"/>
          <w:sz w:val="18"/>
          <w:szCs w:val="18"/>
          <w:color w:val="auto"/>
        </w:rPr>
      </w:pPr>
    </w:p>
    <w:p>
      <w:pPr>
        <w:ind w:left="1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 Forma Balance Sheet as of June 30, 2024:</w:t>
      </w:r>
    </w:p>
    <w:p>
      <w:pPr>
        <w:spacing w:after="0" w:line="227"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Reclassification of $39 million from </w:t>
      </w:r>
      <w:r>
        <w:rPr>
          <w:rFonts w:ascii="Times New Roman" w:cs="Times New Roman" w:eastAsia="Times New Roman" w:hAnsi="Times New Roman"/>
          <w:sz w:val="18"/>
          <w:szCs w:val="18"/>
          <w:i w:val="1"/>
          <w:iCs w:val="1"/>
          <w:color w:val="auto"/>
        </w:rPr>
        <w:t>Accounts receivable: Related parties</w:t>
      </w:r>
      <w:r>
        <w:rPr>
          <w:rFonts w:ascii="Times New Roman" w:cs="Times New Roman" w:eastAsia="Times New Roman" w:hAnsi="Times New Roman"/>
          <w:sz w:val="18"/>
          <w:szCs w:val="18"/>
          <w:color w:val="auto"/>
        </w:rPr>
        <w:t xml:space="preserve"> and $9 million from </w:t>
      </w:r>
      <w:r>
        <w:rPr>
          <w:rFonts w:ascii="Times New Roman" w:cs="Times New Roman" w:eastAsia="Times New Roman" w:hAnsi="Times New Roman"/>
          <w:sz w:val="18"/>
          <w:szCs w:val="18"/>
          <w:i w:val="1"/>
          <w:iCs w:val="1"/>
          <w:color w:val="auto"/>
        </w:rPr>
        <w:t>Accounts receivable - other</w:t>
      </w:r>
      <w:r>
        <w:rPr>
          <w:rFonts w:ascii="Times New Roman" w:cs="Times New Roman" w:eastAsia="Times New Roman" w:hAnsi="Times New Roman"/>
          <w:sz w:val="18"/>
          <w:szCs w:val="18"/>
          <w:color w:val="auto"/>
        </w:rPr>
        <w:t xml:space="preserve"> to</w:t>
      </w:r>
    </w:p>
    <w:p>
      <w:pPr>
        <w:spacing w:after="0" w:line="29"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Accounts receivable: Joint interest and other, net</w:t>
      </w:r>
      <w:r>
        <w:rPr>
          <w:rFonts w:ascii="Times New Roman" w:cs="Times New Roman" w:eastAsia="Times New Roman" w:hAnsi="Times New Roman"/>
          <w:sz w:val="18"/>
          <w:szCs w:val="18"/>
          <w:color w:val="auto"/>
        </w:rPr>
        <w:t>;</w:t>
      </w:r>
    </w:p>
    <w:p>
      <w:pPr>
        <w:spacing w:after="0" w:line="204"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reclassification of $726 million from </w:t>
      </w:r>
      <w:r>
        <w:rPr>
          <w:rFonts w:ascii="Times New Roman" w:cs="Times New Roman" w:eastAsia="Times New Roman" w:hAnsi="Times New Roman"/>
          <w:sz w:val="18"/>
          <w:szCs w:val="18"/>
          <w:i w:val="1"/>
          <w:iCs w:val="1"/>
          <w:color w:val="auto"/>
        </w:rPr>
        <w:t>Accounts receivable: Accrued oil and natural gas revenues</w:t>
      </w:r>
      <w:r>
        <w:rPr>
          <w:rFonts w:ascii="Times New Roman" w:cs="Times New Roman" w:eastAsia="Times New Roman" w:hAnsi="Times New Roman"/>
          <w:sz w:val="18"/>
          <w:szCs w:val="18"/>
          <w:color w:val="auto"/>
        </w:rPr>
        <w:t xml:space="preserve"> and ($31) million from </w:t>
      </w:r>
      <w:r>
        <w:rPr>
          <w:rFonts w:ascii="Times New Roman" w:cs="Times New Roman" w:eastAsia="Times New Roman" w:hAnsi="Times New Roman"/>
          <w:sz w:val="18"/>
          <w:szCs w:val="18"/>
          <w:i w:val="1"/>
          <w:iCs w:val="1"/>
          <w:color w:val="auto"/>
        </w:rPr>
        <w:t>Accrued</w:t>
      </w:r>
    </w:p>
    <w:p>
      <w:pPr>
        <w:spacing w:after="0" w:line="29"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expenses </w:t>
      </w:r>
      <w:r>
        <w:rPr>
          <w:rFonts w:ascii="Times New Roman" w:cs="Times New Roman" w:eastAsia="Times New Roman" w:hAnsi="Times New Roman"/>
          <w:sz w:val="18"/>
          <w:szCs w:val="18"/>
          <w:color w:val="auto"/>
        </w:rPr>
        <w:t>to</w:t>
      </w:r>
      <w:r>
        <w:rPr>
          <w:rFonts w:ascii="Times New Roman" w:cs="Times New Roman" w:eastAsia="Times New Roman" w:hAnsi="Times New Roman"/>
          <w:sz w:val="18"/>
          <w:szCs w:val="18"/>
          <w:i w:val="1"/>
          <w:iCs w:val="1"/>
          <w:color w:val="auto"/>
        </w:rPr>
        <w:t xml:space="preserve"> Accounts receivable: Oil and natural gas sales, net</w:t>
      </w:r>
      <w:r>
        <w:rPr>
          <w:rFonts w:ascii="Times New Roman" w:cs="Times New Roman" w:eastAsia="Times New Roman" w:hAnsi="Times New Roman"/>
          <w:sz w:val="18"/>
          <w:szCs w:val="18"/>
          <w:color w:val="auto"/>
        </w:rPr>
        <w:t>;</w:t>
      </w:r>
    </w:p>
    <w:p>
      <w:pPr>
        <w:spacing w:after="0" w:line="204" w:lineRule="exact"/>
        <w:rPr>
          <w:rFonts w:ascii="Times New Roman" w:cs="Times New Roman" w:eastAsia="Times New Roman" w:hAnsi="Times New Roman"/>
          <w:sz w:val="18"/>
          <w:szCs w:val="18"/>
          <w:color w:val="auto"/>
        </w:rPr>
      </w:pPr>
    </w:p>
    <w:p>
      <w:pPr>
        <w:ind w:left="1620" w:right="240" w:hanging="316"/>
        <w:spacing w:after="0" w:line="267" w:lineRule="auto"/>
        <w:tabs>
          <w:tab w:leader="none" w:pos="16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reclassification of $16.8 billion from </w:t>
      </w:r>
      <w:r>
        <w:rPr>
          <w:rFonts w:ascii="Times New Roman" w:cs="Times New Roman" w:eastAsia="Times New Roman" w:hAnsi="Times New Roman"/>
          <w:sz w:val="18"/>
          <w:szCs w:val="18"/>
          <w:i w:val="1"/>
          <w:iCs w:val="1"/>
          <w:color w:val="auto"/>
        </w:rPr>
        <w:t>Oil and natural gas property and equipment, full cost method, net</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i w:val="1"/>
          <w:iCs w:val="1"/>
          <w:color w:val="auto"/>
        </w:rPr>
        <w:t>Oil and natural gas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properties, full cost method of accounting</w:t>
      </w:r>
      <w:r>
        <w:rPr>
          <w:rFonts w:ascii="Times New Roman" w:cs="Times New Roman" w:eastAsia="Times New Roman" w:hAnsi="Times New Roman"/>
          <w:sz w:val="18"/>
          <w:szCs w:val="18"/>
          <w:color w:val="auto"/>
        </w:rPr>
        <w:t>; reclassification of ($7.2) billion from</w:t>
      </w:r>
      <w:r>
        <w:rPr>
          <w:rFonts w:ascii="Times New Roman" w:cs="Times New Roman" w:eastAsia="Times New Roman" w:hAnsi="Times New Roman"/>
          <w:sz w:val="18"/>
          <w:szCs w:val="18"/>
          <w:i w:val="1"/>
          <w:iCs w:val="1"/>
          <w:color w:val="auto"/>
        </w:rPr>
        <w:t xml:space="preserve"> Oil and natural gas property and equipment, full cost method, net </w:t>
      </w:r>
      <w:r>
        <w:rPr>
          <w:rFonts w:ascii="Times New Roman" w:cs="Times New Roman" w:eastAsia="Times New Roman" w:hAnsi="Times New Roman"/>
          <w:sz w:val="18"/>
          <w:szCs w:val="18"/>
          <w:color w:val="auto"/>
        </w:rPr>
        <w:t>to</w:t>
      </w:r>
      <w:r>
        <w:rPr>
          <w:rFonts w:ascii="Times New Roman" w:cs="Times New Roman" w:eastAsia="Times New Roman" w:hAnsi="Times New Roman"/>
          <w:sz w:val="18"/>
          <w:szCs w:val="18"/>
          <w:i w:val="1"/>
          <w:iCs w:val="1"/>
          <w:color w:val="auto"/>
        </w:rPr>
        <w:t xml:space="preserve"> Accumulated depletion, depreciation, amortization and impairment</w:t>
      </w:r>
      <w:r>
        <w:rPr>
          <w:rFonts w:ascii="Times New Roman" w:cs="Times New Roman" w:eastAsia="Times New Roman" w:hAnsi="Times New Roman"/>
          <w:sz w:val="18"/>
          <w:szCs w:val="18"/>
          <w:color w:val="auto"/>
        </w:rPr>
        <w:t>;</w:t>
      </w:r>
    </w:p>
    <w:p>
      <w:pPr>
        <w:spacing w:after="0" w:line="173" w:lineRule="exact"/>
        <w:rPr>
          <w:rFonts w:ascii="Times New Roman" w:cs="Times New Roman" w:eastAsia="Times New Roman" w:hAnsi="Times New Roman"/>
          <w:sz w:val="18"/>
          <w:szCs w:val="18"/>
          <w:color w:val="auto"/>
        </w:rPr>
      </w:pPr>
    </w:p>
    <w:p>
      <w:pPr>
        <w:ind w:left="1620" w:right="60" w:hanging="316"/>
        <w:spacing w:after="0" w:line="276" w:lineRule="auto"/>
        <w:tabs>
          <w:tab w:leader="none" w:pos="16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reclassification of $850 million from </w:t>
      </w:r>
      <w:r>
        <w:rPr>
          <w:rFonts w:ascii="Times New Roman" w:cs="Times New Roman" w:eastAsia="Times New Roman" w:hAnsi="Times New Roman"/>
          <w:sz w:val="18"/>
          <w:szCs w:val="18"/>
          <w:i w:val="1"/>
          <w:iCs w:val="1"/>
          <w:color w:val="auto"/>
        </w:rPr>
        <w:t>Other property and equipment, net</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i w:val="1"/>
          <w:iCs w:val="1"/>
          <w:color w:val="auto"/>
        </w:rPr>
        <w:t>Other property, equipment and land</w:t>
      </w:r>
      <w:r>
        <w:rPr>
          <w:rFonts w:ascii="Times New Roman" w:cs="Times New Roman" w:eastAsia="Times New Roman" w:hAnsi="Times New Roman"/>
          <w:sz w:val="18"/>
          <w:szCs w:val="18"/>
          <w:color w:val="auto"/>
        </w:rPr>
        <w:t xml:space="preserve">, and reclassification of ($275) million from </w:t>
      </w:r>
      <w:r>
        <w:rPr>
          <w:rFonts w:ascii="Times New Roman" w:cs="Times New Roman" w:eastAsia="Times New Roman" w:hAnsi="Times New Roman"/>
          <w:sz w:val="18"/>
          <w:szCs w:val="18"/>
          <w:i w:val="1"/>
          <w:iCs w:val="1"/>
          <w:color w:val="auto"/>
        </w:rPr>
        <w:t>Other property and equipment, net</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i w:val="1"/>
          <w:iCs w:val="1"/>
          <w:color w:val="auto"/>
        </w:rPr>
        <w:t>Accumulated depletion, depreciation, amortization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impairment</w:t>
      </w:r>
      <w:r>
        <w:rPr>
          <w:rFonts w:ascii="Times New Roman" w:cs="Times New Roman" w:eastAsia="Times New Roman" w:hAnsi="Times New Roman"/>
          <w:sz w:val="18"/>
          <w:szCs w:val="18"/>
          <w:color w:val="auto"/>
        </w:rPr>
        <w:t>;</w:t>
      </w:r>
    </w:p>
    <w:p>
      <w:pPr>
        <w:spacing w:after="0" w:line="387" w:lineRule="exact"/>
        <w:rPr>
          <w:rFonts w:ascii="Times New Roman" w:cs="Times New Roman" w:eastAsia="Times New Roman" w:hAnsi="Times New Roman"/>
          <w:sz w:val="18"/>
          <w:szCs w:val="18"/>
          <w:color w:val="auto"/>
        </w:rPr>
      </w:pPr>
    </w:p>
    <w:p>
      <w:pPr>
        <w:ind w:left="1620" w:right="80" w:hanging="316"/>
        <w:spacing w:after="0" w:line="284" w:lineRule="auto"/>
        <w:tabs>
          <w:tab w:leader="none" w:pos="16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reclassification of $70 million from </w:t>
      </w:r>
      <w:r>
        <w:rPr>
          <w:rFonts w:ascii="Times New Roman" w:cs="Times New Roman" w:eastAsia="Times New Roman" w:hAnsi="Times New Roman"/>
          <w:sz w:val="18"/>
          <w:szCs w:val="18"/>
          <w:i w:val="1"/>
          <w:iCs w:val="1"/>
          <w:color w:val="auto"/>
        </w:rPr>
        <w:t>Other noncurrent assets</w:t>
      </w:r>
      <w:r>
        <w:rPr>
          <w:rFonts w:ascii="Times New Roman" w:cs="Times New Roman" w:eastAsia="Times New Roman" w:hAnsi="Times New Roman"/>
          <w:sz w:val="18"/>
          <w:szCs w:val="18"/>
          <w:color w:val="auto"/>
        </w:rPr>
        <w:t xml:space="preserve">, and $5 million from </w:t>
      </w:r>
      <w:r>
        <w:rPr>
          <w:rFonts w:ascii="Times New Roman" w:cs="Times New Roman" w:eastAsia="Times New Roman" w:hAnsi="Times New Roman"/>
          <w:sz w:val="18"/>
          <w:szCs w:val="18"/>
          <w:i w:val="1"/>
          <w:iCs w:val="1"/>
          <w:color w:val="auto"/>
        </w:rPr>
        <w:t>Other noncurrent assets - related parties</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assets</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reclassification of $270 million from </w:t>
      </w:r>
      <w:r>
        <w:rPr>
          <w:rFonts w:ascii="Times New Roman" w:cs="Times New Roman" w:eastAsia="Times New Roman" w:hAnsi="Times New Roman"/>
          <w:sz w:val="18"/>
          <w:szCs w:val="18"/>
          <w:i w:val="1"/>
          <w:iCs w:val="1"/>
          <w:color w:val="auto"/>
        </w:rPr>
        <w:t>Accounts payable - trade</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i w:val="1"/>
          <w:iCs w:val="1"/>
          <w:color w:val="auto"/>
        </w:rPr>
        <w:t>Accrued capital expenditures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reclassification of $759 million from </w:t>
      </w:r>
      <w:r>
        <w:rPr>
          <w:rFonts w:ascii="Times New Roman" w:cs="Times New Roman" w:eastAsia="Times New Roman" w:hAnsi="Times New Roman"/>
          <w:sz w:val="18"/>
          <w:szCs w:val="18"/>
          <w:i w:val="1"/>
          <w:iCs w:val="1"/>
          <w:color w:val="auto"/>
        </w:rPr>
        <w:t>Accounts payable - oil and gas revenue</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i w:val="1"/>
          <w:iCs w:val="1"/>
          <w:color w:val="auto"/>
        </w:rPr>
        <w:t>Revenues and royalties payable</w:t>
      </w: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1620" w:hanging="316"/>
        <w:spacing w:after="0" w:line="284" w:lineRule="auto"/>
        <w:tabs>
          <w:tab w:leader="none" w:pos="16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reclassification of $131 million from </w:t>
      </w:r>
      <w:r>
        <w:rPr>
          <w:rFonts w:ascii="Times New Roman" w:cs="Times New Roman" w:eastAsia="Times New Roman" w:hAnsi="Times New Roman"/>
          <w:sz w:val="18"/>
          <w:szCs w:val="18"/>
          <w:i w:val="1"/>
          <w:iCs w:val="1"/>
          <w:color w:val="auto"/>
        </w:rPr>
        <w:t>Accrued expenses</w:t>
      </w:r>
      <w:r>
        <w:rPr>
          <w:rFonts w:ascii="Times New Roman" w:cs="Times New Roman" w:eastAsia="Times New Roman" w:hAnsi="Times New Roman"/>
          <w:sz w:val="18"/>
          <w:szCs w:val="18"/>
          <w:color w:val="auto"/>
        </w:rPr>
        <w:t xml:space="preserve"> and $15 million from </w:t>
      </w:r>
      <w:r>
        <w:rPr>
          <w:rFonts w:ascii="Times New Roman" w:cs="Times New Roman" w:eastAsia="Times New Roman" w:hAnsi="Times New Roman"/>
          <w:sz w:val="18"/>
          <w:szCs w:val="18"/>
          <w:i w:val="1"/>
          <w:iCs w:val="1"/>
          <w:color w:val="auto"/>
        </w:rPr>
        <w:t>Asset retirement obligations</w:t>
      </w:r>
      <w:r>
        <w:rPr>
          <w:rFonts w:ascii="Times New Roman" w:cs="Times New Roman" w:eastAsia="Times New Roman" w:hAnsi="Times New Roman"/>
          <w:sz w:val="18"/>
          <w:szCs w:val="18"/>
          <w:color w:val="auto"/>
        </w:rPr>
        <w:t xml:space="preserve"> (current) to </w:t>
      </w:r>
      <w:r>
        <w:rPr>
          <w:rFonts w:ascii="Times New Roman" w:cs="Times New Roman" w:eastAsia="Times New Roman" w:hAnsi="Times New Roman"/>
          <w:sz w:val="18"/>
          <w:szCs w:val="18"/>
          <w:i w:val="1"/>
          <w:iCs w:val="1"/>
          <w:color w:val="auto"/>
        </w:rPr>
        <w:t>Other accrued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liabilities.</w:t>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Pro Forma Statement of Operations for the six months ended June 30, 2024:</w:t>
      </w:r>
    </w:p>
    <w:p>
      <w:pPr>
        <w:spacing w:after="0" w:line="227" w:lineRule="exact"/>
        <w:rPr>
          <w:sz w:val="20"/>
          <w:szCs w:val="20"/>
          <w:color w:val="auto"/>
        </w:rPr>
      </w:pPr>
    </w:p>
    <w:p>
      <w:pPr>
        <w:ind w:left="1620" w:hanging="316"/>
        <w:spacing w:after="0"/>
        <w:tabs>
          <w:tab w:leader="none" w:pos="1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Reclassification of ($7) million from </w:t>
      </w:r>
      <w:r>
        <w:rPr>
          <w:rFonts w:ascii="Times New Roman" w:cs="Times New Roman" w:eastAsia="Times New Roman" w:hAnsi="Times New Roman"/>
          <w:sz w:val="18"/>
          <w:szCs w:val="18"/>
          <w:i w:val="1"/>
          <w:iCs w:val="1"/>
          <w:color w:val="auto"/>
        </w:rPr>
        <w:t>Natural gas and NGL sales</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i w:val="1"/>
          <w:iCs w:val="1"/>
          <w:color w:val="auto"/>
        </w:rPr>
        <w:t>Natural gas sales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reclassification of $298 million from </w:t>
      </w:r>
      <w:r>
        <w:rPr>
          <w:rFonts w:ascii="Times New Roman" w:cs="Times New Roman" w:eastAsia="Times New Roman" w:hAnsi="Times New Roman"/>
          <w:sz w:val="18"/>
          <w:szCs w:val="18"/>
          <w:i w:val="1"/>
          <w:iCs w:val="1"/>
          <w:color w:val="auto"/>
        </w:rPr>
        <w:t>Natural gas and NGL sales</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i w:val="1"/>
          <w:iCs w:val="1"/>
          <w:color w:val="auto"/>
        </w:rPr>
        <w:t>Natural gas liquid sales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reclassification of $14 million from </w:t>
      </w:r>
      <w:r>
        <w:rPr>
          <w:rFonts w:ascii="Times New Roman" w:cs="Times New Roman" w:eastAsia="Times New Roman" w:hAnsi="Times New Roman"/>
          <w:sz w:val="18"/>
          <w:szCs w:val="18"/>
          <w:i w:val="1"/>
          <w:iCs w:val="1"/>
          <w:color w:val="auto"/>
        </w:rPr>
        <w:t>Service company revenue</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i w:val="1"/>
          <w:iCs w:val="1"/>
          <w:color w:val="auto"/>
        </w:rPr>
        <w:t>Other operating income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620" w:right="380" w:hanging="316"/>
        <w:spacing w:after="0" w:line="284" w:lineRule="auto"/>
        <w:tabs>
          <w:tab w:leader="none" w:pos="1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reclassification of $149 million from </w:t>
      </w:r>
      <w:r>
        <w:rPr>
          <w:rFonts w:ascii="Times New Roman" w:cs="Times New Roman" w:eastAsia="Times New Roman" w:hAnsi="Times New Roman"/>
          <w:sz w:val="18"/>
          <w:szCs w:val="18"/>
          <w:i w:val="1"/>
          <w:iCs w:val="1"/>
          <w:color w:val="auto"/>
        </w:rPr>
        <w:t>Production taxes</w:t>
      </w:r>
      <w:r>
        <w:rPr>
          <w:rFonts w:ascii="Times New Roman" w:cs="Times New Roman" w:eastAsia="Times New Roman" w:hAnsi="Times New Roman"/>
          <w:sz w:val="18"/>
          <w:szCs w:val="18"/>
          <w:color w:val="auto"/>
        </w:rPr>
        <w:t xml:space="preserve">, $45 million from </w:t>
      </w:r>
      <w:r>
        <w:rPr>
          <w:rFonts w:ascii="Times New Roman" w:cs="Times New Roman" w:eastAsia="Times New Roman" w:hAnsi="Times New Roman"/>
          <w:sz w:val="18"/>
          <w:szCs w:val="18"/>
          <w:i w:val="1"/>
          <w:iCs w:val="1"/>
          <w:color w:val="auto"/>
        </w:rPr>
        <w:t>Lease operating expenses</w:t>
      </w:r>
      <w:r>
        <w:rPr>
          <w:rFonts w:ascii="Times New Roman" w:cs="Times New Roman" w:eastAsia="Times New Roman" w:hAnsi="Times New Roman"/>
          <w:sz w:val="18"/>
          <w:szCs w:val="18"/>
          <w:color w:val="auto"/>
        </w:rPr>
        <w:t xml:space="preserve"> and $1 million from </w:t>
      </w:r>
      <w:r>
        <w:rPr>
          <w:rFonts w:ascii="Times New Roman" w:cs="Times New Roman" w:eastAsia="Times New Roman" w:hAnsi="Times New Roman"/>
          <w:sz w:val="18"/>
          <w:szCs w:val="18"/>
          <w:i w:val="1"/>
          <w:iCs w:val="1"/>
          <w:color w:val="auto"/>
        </w:rPr>
        <w:t>Service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company operating expenses </w:t>
      </w:r>
      <w:r>
        <w:rPr>
          <w:rFonts w:ascii="Times New Roman" w:cs="Times New Roman" w:eastAsia="Times New Roman" w:hAnsi="Times New Roman"/>
          <w:sz w:val="18"/>
          <w:szCs w:val="18"/>
          <w:color w:val="auto"/>
        </w:rPr>
        <w:t>to</w:t>
      </w:r>
      <w:r>
        <w:rPr>
          <w:rFonts w:ascii="Times New Roman" w:cs="Times New Roman" w:eastAsia="Times New Roman" w:hAnsi="Times New Roman"/>
          <w:sz w:val="18"/>
          <w:szCs w:val="18"/>
          <w:i w:val="1"/>
          <w:iCs w:val="1"/>
          <w:color w:val="auto"/>
        </w:rPr>
        <w:t xml:space="preserve"> Production and ad valorem taxes</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reclassification of ($2) million from </w:t>
      </w:r>
      <w:r>
        <w:rPr>
          <w:rFonts w:ascii="Times New Roman" w:cs="Times New Roman" w:eastAsia="Times New Roman" w:hAnsi="Times New Roman"/>
          <w:sz w:val="18"/>
          <w:szCs w:val="18"/>
          <w:i w:val="1"/>
          <w:iCs w:val="1"/>
          <w:color w:val="auto"/>
        </w:rPr>
        <w:t>Lease operating expenses</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i w:val="1"/>
          <w:iCs w:val="1"/>
          <w:color w:val="auto"/>
        </w:rPr>
        <w:t>General and administrative expenses;</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reclassification of $11 million from </w:t>
      </w:r>
      <w:r>
        <w:rPr>
          <w:rFonts w:ascii="Times New Roman" w:cs="Times New Roman" w:eastAsia="Times New Roman" w:hAnsi="Times New Roman"/>
          <w:sz w:val="18"/>
          <w:szCs w:val="18"/>
          <w:i w:val="1"/>
          <w:iCs w:val="1"/>
          <w:color w:val="auto"/>
        </w:rPr>
        <w:t>Service company operating expenses</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i w:val="1"/>
          <w:iCs w:val="1"/>
          <w:color w:val="auto"/>
        </w:rPr>
        <w:t>Other operating expenses;</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reclassification of $1 million from </w:t>
      </w: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w:t>
      </w:r>
    </w:p>
    <w:p>
      <w:pPr>
        <w:spacing w:after="0" w:line="3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7" w:name="page38"/>
    <w:bookmarkEnd w:id="37"/>
    <w:p>
      <w:pPr>
        <w:ind w:left="1620" w:hanging="316"/>
        <w:spacing w:after="0"/>
        <w:tabs>
          <w:tab w:leader="none" w:pos="16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reclassification of $2 million from </w:t>
      </w:r>
      <w:r>
        <w:rPr>
          <w:rFonts w:ascii="Times New Roman" w:cs="Times New Roman" w:eastAsia="Times New Roman" w:hAnsi="Times New Roman"/>
          <w:sz w:val="18"/>
          <w:szCs w:val="18"/>
          <w:i w:val="1"/>
          <w:iCs w:val="1"/>
          <w:color w:val="auto"/>
        </w:rPr>
        <w:t>Lease operating expenses</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i w:val="1"/>
          <w:iCs w:val="1"/>
          <w:color w:val="auto"/>
        </w:rPr>
        <w:t>Gain (loss) on derivative instruments, net</w:t>
      </w: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reclassification of $3 million from </w:t>
      </w:r>
      <w:r>
        <w:rPr>
          <w:rFonts w:ascii="Times New Roman" w:cs="Times New Roman" w:eastAsia="Times New Roman" w:hAnsi="Times New Roman"/>
          <w:sz w:val="18"/>
          <w:szCs w:val="18"/>
          <w:i w:val="1"/>
          <w:iCs w:val="1"/>
          <w:color w:val="auto"/>
        </w:rPr>
        <w:t>Transaction costs</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i w:val="1"/>
          <w:iCs w:val="1"/>
          <w:color w:val="auto"/>
        </w:rPr>
        <w:t>Merger and integration expenses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Pro Forma Statement of Operations for the year ended December 31, 2023:</w:t>
      </w:r>
    </w:p>
    <w:p>
      <w:pPr>
        <w:spacing w:after="0" w:line="227" w:lineRule="exact"/>
        <w:rPr>
          <w:sz w:val="20"/>
          <w:szCs w:val="20"/>
          <w:color w:val="auto"/>
        </w:rPr>
      </w:pPr>
    </w:p>
    <w:p>
      <w:pPr>
        <w:ind w:left="1620" w:hanging="316"/>
        <w:spacing w:after="0"/>
        <w:tabs>
          <w:tab w:leader="none" w:pos="16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Reclassification of $189 million from </w:t>
      </w:r>
      <w:r>
        <w:rPr>
          <w:rFonts w:ascii="Times New Roman" w:cs="Times New Roman" w:eastAsia="Times New Roman" w:hAnsi="Times New Roman"/>
          <w:sz w:val="18"/>
          <w:szCs w:val="18"/>
          <w:i w:val="1"/>
          <w:iCs w:val="1"/>
          <w:color w:val="auto"/>
        </w:rPr>
        <w:t>Natural gas and NGL sales</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i w:val="1"/>
          <w:iCs w:val="1"/>
          <w:color w:val="auto"/>
        </w:rPr>
        <w:t>Natural gas sales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reclassification of $524 million from </w:t>
      </w:r>
      <w:r>
        <w:rPr>
          <w:rFonts w:ascii="Times New Roman" w:cs="Times New Roman" w:eastAsia="Times New Roman" w:hAnsi="Times New Roman"/>
          <w:sz w:val="18"/>
          <w:szCs w:val="18"/>
          <w:i w:val="1"/>
          <w:iCs w:val="1"/>
          <w:color w:val="auto"/>
        </w:rPr>
        <w:t>Natural gas and NGL sales</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i w:val="1"/>
          <w:iCs w:val="1"/>
          <w:color w:val="auto"/>
        </w:rPr>
        <w:t>Natural gas liquid sales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reclassification of $22 million from </w:t>
      </w:r>
      <w:r>
        <w:rPr>
          <w:rFonts w:ascii="Times New Roman" w:cs="Times New Roman" w:eastAsia="Times New Roman" w:hAnsi="Times New Roman"/>
          <w:sz w:val="18"/>
          <w:szCs w:val="18"/>
          <w:i w:val="1"/>
          <w:iCs w:val="1"/>
          <w:color w:val="auto"/>
        </w:rPr>
        <w:t>Service company revenue</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i w:val="1"/>
          <w:iCs w:val="1"/>
          <w:color w:val="auto"/>
        </w:rPr>
        <w:t>Other operating income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620" w:right="420" w:hanging="316"/>
        <w:spacing w:after="0" w:line="284" w:lineRule="auto"/>
        <w:tabs>
          <w:tab w:leader="none" w:pos="16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reclassification of $301 million from </w:t>
      </w:r>
      <w:r>
        <w:rPr>
          <w:rFonts w:ascii="Times New Roman" w:cs="Times New Roman" w:eastAsia="Times New Roman" w:hAnsi="Times New Roman"/>
          <w:sz w:val="18"/>
          <w:szCs w:val="18"/>
          <w:i w:val="1"/>
          <w:iCs w:val="1"/>
          <w:color w:val="auto"/>
        </w:rPr>
        <w:t>Production taxes,</w:t>
      </w:r>
      <w:r>
        <w:rPr>
          <w:rFonts w:ascii="Times New Roman" w:cs="Times New Roman" w:eastAsia="Times New Roman" w:hAnsi="Times New Roman"/>
          <w:sz w:val="18"/>
          <w:szCs w:val="18"/>
          <w:color w:val="auto"/>
        </w:rPr>
        <w:t xml:space="preserve"> $93 million from </w:t>
      </w:r>
      <w:r>
        <w:rPr>
          <w:rFonts w:ascii="Times New Roman" w:cs="Times New Roman" w:eastAsia="Times New Roman" w:hAnsi="Times New Roman"/>
          <w:sz w:val="18"/>
          <w:szCs w:val="18"/>
          <w:i w:val="1"/>
          <w:iCs w:val="1"/>
          <w:color w:val="auto"/>
        </w:rPr>
        <w:t>Lease operating expenses</w:t>
      </w:r>
      <w:r>
        <w:rPr>
          <w:rFonts w:ascii="Times New Roman" w:cs="Times New Roman" w:eastAsia="Times New Roman" w:hAnsi="Times New Roman"/>
          <w:sz w:val="18"/>
          <w:szCs w:val="18"/>
          <w:color w:val="auto"/>
        </w:rPr>
        <w:t xml:space="preserve"> and $1 million from </w:t>
      </w:r>
      <w:r>
        <w:rPr>
          <w:rFonts w:ascii="Times New Roman" w:cs="Times New Roman" w:eastAsia="Times New Roman" w:hAnsi="Times New Roman"/>
          <w:sz w:val="18"/>
          <w:szCs w:val="18"/>
          <w:i w:val="1"/>
          <w:iCs w:val="1"/>
          <w:color w:val="auto"/>
        </w:rPr>
        <w:t>Service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 operating expenses to Production and ad valorem taxes;</w:t>
      </w:r>
    </w:p>
    <w:p>
      <w:pPr>
        <w:spacing w:after="0" w:line="158" w:lineRule="exact"/>
        <w:rPr>
          <w:rFonts w:ascii="Times New Roman" w:cs="Times New Roman" w:eastAsia="Times New Roman" w:hAnsi="Times New Roman"/>
          <w:sz w:val="18"/>
          <w:szCs w:val="18"/>
          <w:color w:val="auto"/>
        </w:rPr>
      </w:pPr>
    </w:p>
    <w:p>
      <w:pPr>
        <w:ind w:left="1620" w:hanging="316"/>
        <w:spacing w:after="0" w:line="284" w:lineRule="auto"/>
        <w:tabs>
          <w:tab w:leader="none" w:pos="16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reclassification of $21 million from </w:t>
      </w:r>
      <w:r>
        <w:rPr>
          <w:rFonts w:ascii="Times New Roman" w:cs="Times New Roman" w:eastAsia="Times New Roman" w:hAnsi="Times New Roman"/>
          <w:sz w:val="18"/>
          <w:szCs w:val="18"/>
          <w:i w:val="1"/>
          <w:iCs w:val="1"/>
          <w:color w:val="auto"/>
        </w:rPr>
        <w:t>Service company operating expenses</w:t>
      </w:r>
      <w:r>
        <w:rPr>
          <w:rFonts w:ascii="Times New Roman" w:cs="Times New Roman" w:eastAsia="Times New Roman" w:hAnsi="Times New Roman"/>
          <w:sz w:val="18"/>
          <w:szCs w:val="18"/>
          <w:color w:val="auto"/>
        </w:rPr>
        <w:t xml:space="preserve">, ($10) million from </w:t>
      </w:r>
      <w:r>
        <w:rPr>
          <w:rFonts w:ascii="Times New Roman" w:cs="Times New Roman" w:eastAsia="Times New Roman" w:hAnsi="Times New Roman"/>
          <w:sz w:val="18"/>
          <w:szCs w:val="18"/>
          <w:i w:val="1"/>
          <w:iCs w:val="1"/>
          <w:color w:val="auto"/>
        </w:rPr>
        <w:t>(Gain) loss on sale of assets, net</w:t>
      </w:r>
      <w:r>
        <w:rPr>
          <w:rFonts w:ascii="Times New Roman" w:cs="Times New Roman" w:eastAsia="Times New Roman" w:hAnsi="Times New Roman"/>
          <w:sz w:val="18"/>
          <w:szCs w:val="18"/>
          <w:color w:val="auto"/>
        </w:rPr>
        <w:t xml:space="preserve"> and $1 million from </w:t>
      </w:r>
      <w:r>
        <w:rPr>
          <w:rFonts w:ascii="Times New Roman" w:cs="Times New Roman" w:eastAsia="Times New Roman" w:hAnsi="Times New Roman"/>
          <w:sz w:val="18"/>
          <w:szCs w:val="18"/>
          <w:i w:val="1"/>
          <w:iCs w:val="1"/>
          <w:color w:val="auto"/>
        </w:rPr>
        <w:t>Loss from inventory write down</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i w:val="1"/>
          <w:iCs w:val="1"/>
          <w:color w:val="auto"/>
        </w:rPr>
        <w:t>Other operating expenses</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ind w:left="1620" w:right="440" w:hanging="316"/>
        <w:spacing w:after="0" w:line="284" w:lineRule="auto"/>
        <w:tabs>
          <w:tab w:leader="none" w:pos="16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reclassification of ($5) million from </w:t>
      </w:r>
      <w:r>
        <w:rPr>
          <w:rFonts w:ascii="Times New Roman" w:cs="Times New Roman" w:eastAsia="Times New Roman" w:hAnsi="Times New Roman"/>
          <w:sz w:val="18"/>
          <w:szCs w:val="18"/>
          <w:i w:val="1"/>
          <w:iCs w:val="1"/>
          <w:color w:val="auto"/>
        </w:rPr>
        <w:t>Current expense (benefit)</w:t>
      </w:r>
      <w:r>
        <w:rPr>
          <w:rFonts w:ascii="Times New Roman" w:cs="Times New Roman" w:eastAsia="Times New Roman" w:hAnsi="Times New Roman"/>
          <w:sz w:val="18"/>
          <w:szCs w:val="18"/>
          <w:color w:val="auto"/>
        </w:rPr>
        <w:t xml:space="preserve"> and $17 million from </w:t>
      </w:r>
      <w:r>
        <w:rPr>
          <w:rFonts w:ascii="Times New Roman" w:cs="Times New Roman" w:eastAsia="Times New Roman" w:hAnsi="Times New Roman"/>
          <w:sz w:val="18"/>
          <w:szCs w:val="18"/>
          <w:i w:val="1"/>
          <w:iCs w:val="1"/>
          <w:color w:val="auto"/>
        </w:rPr>
        <w:t>Deferred expense (benefit)</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i w:val="1"/>
          <w:iCs w:val="1"/>
          <w:color w:val="auto"/>
        </w:rPr>
        <w:t>Provision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(benefit from) income taxes</w:t>
      </w:r>
      <w:r>
        <w:rPr>
          <w:rFonts w:ascii="Times New Roman" w:cs="Times New Roman" w:eastAsia="Times New Roman" w:hAnsi="Times New Roman"/>
          <w:sz w:val="18"/>
          <w:szCs w:val="18"/>
          <w:color w:val="auto"/>
        </w:rPr>
        <w:t>; and</w:t>
      </w:r>
    </w:p>
    <w:p>
      <w:pPr>
        <w:spacing w:after="0" w:line="160"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reclassification of $2 million from Lease operating expenses to General and administrative expenses.</w:t>
      </w:r>
    </w:p>
    <w:p>
      <w:pPr>
        <w:spacing w:after="0" w:line="22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Endeavor’s historical equity balances in accordance with the acquisition method of accounting.</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preliminary allocation of the Acquisition consideration due to the holders of the Endeavor Interests of $27.7 billion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5" w:lineRule="exact"/>
        <w:rPr>
          <w:sz w:val="20"/>
          <w:szCs w:val="20"/>
          <w:color w:val="auto"/>
        </w:rPr>
      </w:pPr>
    </w:p>
    <w:p>
      <w:pPr>
        <w:ind w:left="1300" w:right="320" w:hanging="320"/>
        <w:spacing w:after="0" w:line="284" w:lineRule="auto"/>
        <w:tabs>
          <w:tab w:leader="none" w:pos="13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Increases of $1 million and $20.1 billion to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Additional paid-in capital</w:t>
      </w:r>
      <w:r>
        <w:rPr>
          <w:rFonts w:ascii="Times New Roman" w:cs="Times New Roman" w:eastAsia="Times New Roman" w:hAnsi="Times New Roman"/>
          <w:sz w:val="18"/>
          <w:szCs w:val="18"/>
          <w:color w:val="auto"/>
        </w:rPr>
        <w:t>, respectively, resulting from the issuance of shares of Diamondback to holders of the Endeavor Interests in connection with the completion of the Acquisition;</w:t>
      </w:r>
    </w:p>
    <w:p>
      <w:pPr>
        <w:spacing w:after="0" w:line="158" w:lineRule="exact"/>
        <w:rPr>
          <w:rFonts w:ascii="Times New Roman" w:cs="Times New Roman" w:eastAsia="Times New Roman" w:hAnsi="Times New Roman"/>
          <w:sz w:val="18"/>
          <w:szCs w:val="18"/>
          <w:color w:val="auto"/>
        </w:rPr>
      </w:pPr>
    </w:p>
    <w:p>
      <w:pPr>
        <w:ind w:left="1300" w:right="20" w:hanging="320"/>
        <w:spacing w:after="0" w:line="284" w:lineRule="auto"/>
        <w:tabs>
          <w:tab w:leader="none" w:pos="13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decrease of approximately $7.6 billion to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xml:space="preserve"> to reflect the cash portion of the Acquisition consideration due to the holders of the Endeavor Interests on the Closing Date (see Note 2 above);</w:t>
      </w:r>
    </w:p>
    <w:p>
      <w:pPr>
        <w:spacing w:after="0" w:line="160" w:lineRule="exact"/>
        <w:rPr>
          <w:rFonts w:ascii="Times New Roman" w:cs="Times New Roman" w:eastAsia="Times New Roman" w:hAnsi="Times New Roman"/>
          <w:sz w:val="18"/>
          <w:szCs w:val="18"/>
          <w:color w:val="auto"/>
        </w:rPr>
      </w:pPr>
    </w:p>
    <w:p>
      <w:pPr>
        <w:ind w:left="1300" w:right="60" w:hanging="320"/>
        <w:spacing w:after="0" w:line="282" w:lineRule="auto"/>
        <w:tabs>
          <w:tab w:leader="none" w:pos="13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increase of $27.5 billion to Endeavor’s net book basis of oil and natural gas properties to reflect a portion of the purchase price allocation to the fair value of the properties in </w:t>
      </w:r>
      <w:r>
        <w:rPr>
          <w:rFonts w:ascii="Times New Roman" w:cs="Times New Roman" w:eastAsia="Times New Roman" w:hAnsi="Times New Roman"/>
          <w:sz w:val="18"/>
          <w:szCs w:val="18"/>
          <w:i w:val="1"/>
          <w:iCs w:val="1"/>
          <w:color w:val="auto"/>
        </w:rPr>
        <w:t>Oil and natural gas properties, full cost method of accounting</w:t>
      </w:r>
      <w:r>
        <w:rPr>
          <w:rFonts w:ascii="Times New Roman" w:cs="Times New Roman" w:eastAsia="Times New Roman" w:hAnsi="Times New Roman"/>
          <w:sz w:val="18"/>
          <w:szCs w:val="18"/>
          <w:color w:val="auto"/>
        </w:rPr>
        <w:t>; and</w:t>
      </w:r>
    </w:p>
    <w:p>
      <w:pPr>
        <w:spacing w:after="0" w:line="159" w:lineRule="exact"/>
        <w:rPr>
          <w:rFonts w:ascii="Times New Roman" w:cs="Times New Roman" w:eastAsia="Times New Roman" w:hAnsi="Times New Roman"/>
          <w:sz w:val="18"/>
          <w:szCs w:val="18"/>
          <w:color w:val="auto"/>
        </w:rPr>
      </w:pPr>
    </w:p>
    <w:p>
      <w:pPr>
        <w:ind w:left="1300" w:right="300" w:hanging="320"/>
        <w:spacing w:after="0" w:line="284" w:lineRule="auto"/>
        <w:tabs>
          <w:tab w:leader="none" w:pos="1300" w:val="left"/>
        </w:tabs>
        <w:numPr>
          <w:ilvl w:val="1"/>
          <w:numId w:val="3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xml:space="preserve">increase of $190 million to Endeavor’s net book basis of </w:t>
      </w:r>
      <w:r>
        <w:rPr>
          <w:rFonts w:ascii="Times New Roman" w:cs="Times New Roman" w:eastAsia="Times New Roman" w:hAnsi="Times New Roman"/>
          <w:sz w:val="18"/>
          <w:szCs w:val="18"/>
          <w:i w:val="1"/>
          <w:iCs w:val="1"/>
          <w:color w:val="auto"/>
        </w:rPr>
        <w:t>Other property, equipment and land</w:t>
      </w:r>
      <w:r>
        <w:rPr>
          <w:rFonts w:ascii="Times New Roman" w:cs="Times New Roman" w:eastAsia="Times New Roman" w:hAnsi="Times New Roman"/>
          <w:sz w:val="18"/>
          <w:szCs w:val="18"/>
          <w:color w:val="auto"/>
        </w:rPr>
        <w:t xml:space="preserve"> to reflect a portion of the purchase price allocation to the fair value of other property, equipment and land</w:t>
      </w:r>
      <w:r>
        <w:rPr>
          <w:rFonts w:ascii="Times New Roman" w:cs="Times New Roman" w:eastAsia="Times New Roman" w:hAnsi="Times New Roman"/>
          <w:sz w:val="18"/>
          <w:szCs w:val="18"/>
          <w:i w:val="1"/>
          <w:iCs w:val="1"/>
          <w:color w:val="auto"/>
        </w:rPr>
        <w:t>.</w:t>
      </w:r>
    </w:p>
    <w:p>
      <w:pPr>
        <w:spacing w:after="0" w:line="160" w:lineRule="exact"/>
        <w:rPr>
          <w:rFonts w:ascii="Times New Roman" w:cs="Times New Roman" w:eastAsia="Times New Roman" w:hAnsi="Times New Roman"/>
          <w:sz w:val="18"/>
          <w:szCs w:val="18"/>
          <w:i w:val="1"/>
          <w:iCs w:val="1"/>
          <w:color w:val="auto"/>
        </w:rPr>
      </w:pPr>
    </w:p>
    <w:p>
      <w:pPr>
        <w:ind w:right="140" w:firstLine="656"/>
        <w:spacing w:after="0" w:line="282" w:lineRule="auto"/>
        <w:tabs>
          <w:tab w:leader="none" w:pos="130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settlement of Endeavor’s existing long-term debt of $913 million and the Make-Whole Amount of $17 million by us on the Closing Date as follows:</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Pro Forma Balance Sheet as of June 30, 2024:</w:t>
      </w:r>
    </w:p>
    <w:p>
      <w:pPr>
        <w:spacing w:after="0" w:line="227" w:lineRule="exact"/>
        <w:rPr>
          <w:sz w:val="20"/>
          <w:szCs w:val="20"/>
          <w:color w:val="auto"/>
        </w:rPr>
      </w:pPr>
    </w:p>
    <w:p>
      <w:pPr>
        <w:ind w:left="1300" w:hanging="320"/>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Decrease of $924 million in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xml:space="preserve"> (including Endeavor’s historical cash of $895 million);</w:t>
      </w:r>
    </w:p>
    <w:p>
      <w:pPr>
        <w:spacing w:after="0" w:line="225" w:lineRule="exact"/>
        <w:rPr>
          <w:rFonts w:ascii="Times New Roman" w:cs="Times New Roman" w:eastAsia="Times New Roman" w:hAnsi="Times New Roman"/>
          <w:sz w:val="18"/>
          <w:szCs w:val="18"/>
          <w:color w:val="auto"/>
        </w:rPr>
      </w:pPr>
    </w:p>
    <w:p>
      <w:pPr>
        <w:jc w:val="both"/>
        <w:ind w:left="1300" w:right="280" w:hanging="320"/>
        <w:spacing w:after="0" w:line="267" w:lineRule="auto"/>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Decrease of $913 million in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to retire the $907 million principal amount of Endeavor’s 5.750% Senior Notes due 2028 (the “2028 Senior Notes”) and write off the net unamortized premium and debt issuance costs on the 2028 Senior Notes of $6 million; and</w:t>
      </w:r>
    </w:p>
    <w:p>
      <w:pPr>
        <w:spacing w:after="0" w:line="17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Increase of $11 million to </w:t>
      </w:r>
      <w:r>
        <w:rPr>
          <w:rFonts w:ascii="Times New Roman" w:cs="Times New Roman" w:eastAsia="Times New Roman" w:hAnsi="Times New Roman"/>
          <w:sz w:val="18"/>
          <w:szCs w:val="18"/>
          <w:i w:val="1"/>
          <w:iCs w:val="1"/>
          <w:color w:val="auto"/>
        </w:rPr>
        <w:t>Oil and natural gas properties, full cost method of accounting.</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8" w:name="page39"/>
    <w:bookmarkEnd w:id="38"/>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Pro Forma Statement of Operations for the year ended December 31, 2023:</w:t>
      </w:r>
    </w:p>
    <w:p>
      <w:pPr>
        <w:spacing w:after="0" w:line="227" w:lineRule="exact"/>
        <w:rPr>
          <w:sz w:val="20"/>
          <w:szCs w:val="20"/>
          <w:color w:val="auto"/>
        </w:rPr>
      </w:pPr>
    </w:p>
    <w:p>
      <w:pPr>
        <w:ind w:left="1280" w:hanging="320"/>
        <w:spacing w:after="0"/>
        <w:tabs>
          <w:tab w:leader="none" w:pos="12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$11 million loss charged to </w:t>
      </w:r>
      <w:r>
        <w:rPr>
          <w:rFonts w:ascii="Times New Roman" w:cs="Times New Roman" w:eastAsia="Times New Roman" w:hAnsi="Times New Roman"/>
          <w:sz w:val="18"/>
          <w:szCs w:val="18"/>
          <w:i w:val="1"/>
          <w:iCs w:val="1"/>
          <w:color w:val="auto"/>
        </w:rPr>
        <w:t>Gain (loss) on extinguishment of debt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 w:right="140" w:firstLine="656"/>
        <w:spacing w:after="0" w:line="267" w:lineRule="auto"/>
        <w:tabs>
          <w:tab w:leader="none" w:pos="127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the elimination of Endeavor’s historical </w:t>
      </w:r>
      <w:r>
        <w:rPr>
          <w:rFonts w:ascii="Times New Roman" w:cs="Times New Roman" w:eastAsia="Times New Roman" w:hAnsi="Times New Roman"/>
          <w:sz w:val="18"/>
          <w:szCs w:val="18"/>
          <w:i w:val="1"/>
          <w:iCs w:val="1"/>
          <w:color w:val="auto"/>
        </w:rPr>
        <w:t>Accumulated depletion, depreciation, amortization and impairment</w:t>
      </w:r>
      <w:r>
        <w:rPr>
          <w:rFonts w:ascii="Times New Roman" w:cs="Times New Roman" w:eastAsia="Times New Roman" w:hAnsi="Times New Roman"/>
          <w:sz w:val="18"/>
          <w:szCs w:val="18"/>
          <w:color w:val="auto"/>
        </w:rPr>
        <w:t xml:space="preserve"> balances in the pro forma balance sheet. The pro forma adjustments to the </w:t>
      </w:r>
      <w:r>
        <w:rPr>
          <w:rFonts w:ascii="Times New Roman" w:cs="Times New Roman" w:eastAsia="Times New Roman" w:hAnsi="Times New Roman"/>
          <w:sz w:val="18"/>
          <w:szCs w:val="18"/>
          <w:i w:val="1"/>
          <w:iCs w:val="1"/>
          <w:color w:val="auto"/>
        </w:rPr>
        <w:t>Depreciation, depletion, amortization and accretion</w:t>
      </w:r>
      <w:r>
        <w:rPr>
          <w:rFonts w:ascii="Times New Roman" w:cs="Times New Roman" w:eastAsia="Times New Roman" w:hAnsi="Times New Roman"/>
          <w:sz w:val="18"/>
          <w:szCs w:val="18"/>
          <w:color w:val="auto"/>
        </w:rPr>
        <w:t xml:space="preserve"> expense line items for the six months ended June 30, 2024 and the year ended December 31, 2023, respectively, reflect the following:</w:t>
      </w:r>
    </w:p>
    <w:p>
      <w:pPr>
        <w:spacing w:after="0" w:line="17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Pro forma statement of operations for the six months ended June 30, 2024:</w:t>
      </w:r>
    </w:p>
    <w:p>
      <w:pPr>
        <w:spacing w:after="0" w:line="229" w:lineRule="exact"/>
        <w:rPr>
          <w:sz w:val="20"/>
          <w:szCs w:val="20"/>
          <w:color w:val="auto"/>
        </w:rPr>
      </w:pPr>
    </w:p>
    <w:p>
      <w:pPr>
        <w:ind w:left="1280" w:hanging="320"/>
        <w:spacing w:after="0"/>
        <w:tabs>
          <w:tab w:leader="none" w:pos="12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elimination of Endeavor’s historical depreciation, depletion, amortization and accretion expense of $650 million;</w:t>
      </w:r>
    </w:p>
    <w:p>
      <w:pPr>
        <w:spacing w:after="0" w:line="225" w:lineRule="exact"/>
        <w:rPr>
          <w:rFonts w:ascii="Times New Roman" w:cs="Times New Roman" w:eastAsia="Times New Roman" w:hAnsi="Times New Roman"/>
          <w:sz w:val="18"/>
          <w:szCs w:val="18"/>
          <w:color w:val="auto"/>
        </w:rPr>
      </w:pPr>
    </w:p>
    <w:p>
      <w:pPr>
        <w:jc w:val="both"/>
        <w:ind w:left="1280" w:right="280" w:hanging="320"/>
        <w:spacing w:after="0" w:line="266" w:lineRule="auto"/>
        <w:tabs>
          <w:tab w:leader="none" w:pos="12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billion for the pro forma adjustment to depletion expense calculated in accordance with the full cost method of accounting for oil and natural gas properties, which was based on the preliminary purchase price allocation of estimated fair value of the proved oil and natural gas properties acquired;</w:t>
      </w:r>
    </w:p>
    <w:p>
      <w:pPr>
        <w:spacing w:after="0" w:line="175" w:lineRule="exact"/>
        <w:rPr>
          <w:rFonts w:ascii="Times New Roman" w:cs="Times New Roman" w:eastAsia="Times New Roman" w:hAnsi="Times New Roman"/>
          <w:sz w:val="18"/>
          <w:szCs w:val="18"/>
          <w:color w:val="auto"/>
        </w:rPr>
      </w:pPr>
    </w:p>
    <w:p>
      <w:pPr>
        <w:ind w:left="1280" w:right="740" w:hanging="320"/>
        <w:spacing w:after="0" w:line="282" w:lineRule="auto"/>
        <w:tabs>
          <w:tab w:leader="none" w:pos="12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million for the pro forma adjustments to depreciation expense based on the estimated fair value of other property, plant and equipment acquired and the estimated remaining lives of the assets on the Closing Date; and</w:t>
      </w:r>
    </w:p>
    <w:p>
      <w:pPr>
        <w:spacing w:after="0" w:line="161"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million for adjustments to accretion expense in relation to the fair value of the asset retirement obligations acquired.</w:t>
      </w:r>
    </w:p>
    <w:p>
      <w:pPr>
        <w:spacing w:after="0" w:line="221" w:lineRule="exact"/>
        <w:rPr>
          <w:rFonts w:ascii="Times New Roman" w:cs="Times New Roman" w:eastAsia="Times New Roman" w:hAnsi="Times New Roman"/>
          <w:sz w:val="18"/>
          <w:szCs w:val="18"/>
          <w:color w:val="auto"/>
        </w:rPr>
      </w:pPr>
    </w:p>
    <w:p>
      <w:pPr>
        <w:ind w:left="12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 forma statement of operations for the year ended December 31, 2023:</w:t>
      </w:r>
    </w:p>
    <w:p>
      <w:pPr>
        <w:spacing w:after="0" w:line="229"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elimination of Endeavor’s historical depreciation, depletion, amortization and accretion expense of $1.1 billion;</w:t>
      </w:r>
    </w:p>
    <w:p>
      <w:pPr>
        <w:spacing w:after="0" w:line="225" w:lineRule="exact"/>
        <w:rPr>
          <w:rFonts w:ascii="Times New Roman" w:cs="Times New Roman" w:eastAsia="Times New Roman" w:hAnsi="Times New Roman"/>
          <w:sz w:val="18"/>
          <w:szCs w:val="18"/>
          <w:color w:val="auto"/>
        </w:rPr>
      </w:pPr>
    </w:p>
    <w:p>
      <w:pPr>
        <w:jc w:val="both"/>
        <w:ind w:left="1280" w:right="280" w:hanging="320"/>
        <w:spacing w:after="0" w:line="266" w:lineRule="auto"/>
        <w:tabs>
          <w:tab w:leader="none" w:pos="12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billion for the pro forma adjustment to depletion expense calculated in accordance with the full cost method of accounting for oil and natural gas properties, which was based on the preliminary purchase price allocation of estimated fair value of the proved oil and natural gas properties acquired;</w:t>
      </w:r>
    </w:p>
    <w:p>
      <w:pPr>
        <w:spacing w:after="0" w:line="175" w:lineRule="exact"/>
        <w:rPr>
          <w:rFonts w:ascii="Times New Roman" w:cs="Times New Roman" w:eastAsia="Times New Roman" w:hAnsi="Times New Roman"/>
          <w:sz w:val="18"/>
          <w:szCs w:val="18"/>
          <w:color w:val="auto"/>
        </w:rPr>
      </w:pPr>
    </w:p>
    <w:p>
      <w:pPr>
        <w:ind w:left="1280" w:right="740" w:hanging="320"/>
        <w:spacing w:after="0" w:line="282" w:lineRule="auto"/>
        <w:tabs>
          <w:tab w:leader="none" w:pos="12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 million for the pro forma adjustments to depreciation expense based on the estimated fair value of other property, plant and equipment acquired and the estimated remaining lives of such assets on the Closing Date; and</w:t>
      </w:r>
    </w:p>
    <w:p>
      <w:pPr>
        <w:spacing w:after="0" w:line="161"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 million for adjustments to accretion expense in relation to the fair value of the asset retirement obligations acquired.</w:t>
      </w:r>
    </w:p>
    <w:p>
      <w:pPr>
        <w:spacing w:after="0" w:line="223" w:lineRule="exact"/>
        <w:rPr>
          <w:rFonts w:ascii="Times New Roman" w:cs="Times New Roman" w:eastAsia="Times New Roman" w:hAnsi="Times New Roman"/>
          <w:sz w:val="18"/>
          <w:szCs w:val="18"/>
          <w:color w:val="auto"/>
        </w:rPr>
      </w:pPr>
    </w:p>
    <w:p>
      <w:pPr>
        <w:ind w:left="-20" w:firstLine="656"/>
        <w:spacing w:after="0" w:line="267" w:lineRule="auto"/>
        <w:tabs>
          <w:tab w:leader="none" w:pos="125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a $5.6 billion increase to </w:t>
      </w:r>
      <w:r>
        <w:rPr>
          <w:rFonts w:ascii="Times New Roman" w:cs="Times New Roman" w:eastAsia="Times New Roman" w:hAnsi="Times New Roman"/>
          <w:sz w:val="18"/>
          <w:szCs w:val="18"/>
          <w:i w:val="1"/>
          <w:iCs w:val="1"/>
          <w:color w:val="auto"/>
        </w:rPr>
        <w:t>Deferred income taxes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Oil and natural gas properties, full cost method of accounting</w:t>
      </w:r>
      <w:r>
        <w:rPr>
          <w:rFonts w:ascii="Times New Roman" w:cs="Times New Roman" w:eastAsia="Times New Roman" w:hAnsi="Times New Roman"/>
          <w:sz w:val="18"/>
          <w:szCs w:val="18"/>
          <w:color w:val="auto"/>
        </w:rPr>
        <w:t xml:space="preserve"> to reflect adjustments to the GAAP basis of the assets acquired and liabilities assumed, which affect the excess of the GAAP basis over the tax basis in the applicable assets and liabilities, based on the blended federal and state statutory tax rate of 21.6% at which basis differences are anticipated to reverse.</w:t>
      </w:r>
    </w:p>
    <w:p>
      <w:pPr>
        <w:spacing w:after="0" w:line="175" w:lineRule="exact"/>
        <w:rPr>
          <w:rFonts w:ascii="Times New Roman" w:cs="Times New Roman" w:eastAsia="Times New Roman" w:hAnsi="Times New Roman"/>
          <w:sz w:val="18"/>
          <w:szCs w:val="18"/>
          <w:color w:val="auto"/>
        </w:rPr>
      </w:pPr>
    </w:p>
    <w:p>
      <w:pPr>
        <w:ind w:left="-20" w:right="180" w:firstLine="656"/>
        <w:spacing w:after="0" w:line="289" w:lineRule="auto"/>
        <w:tabs>
          <w:tab w:leader="none" w:pos="1287"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Reflects the net cash proceeds from the $1.0 billion term loan with a one-year maturity used to partially fund the cash consideration for the Acquisition. The adjustments to the pro forma balance sheet were an increase to </w:t>
      </w:r>
      <w:r>
        <w:rPr>
          <w:rFonts w:ascii="Times New Roman" w:cs="Times New Roman" w:eastAsia="Times New Roman" w:hAnsi="Times New Roman"/>
          <w:sz w:val="17"/>
          <w:szCs w:val="17"/>
          <w:i w:val="1"/>
          <w:iCs w:val="1"/>
          <w:color w:val="auto"/>
        </w:rPr>
        <w:t>Cash and cash equivalents</w:t>
      </w:r>
      <w:r>
        <w:rPr>
          <w:rFonts w:ascii="Times New Roman" w:cs="Times New Roman" w:eastAsia="Times New Roman" w:hAnsi="Times New Roman"/>
          <w:sz w:val="17"/>
          <w:szCs w:val="17"/>
          <w:color w:val="auto"/>
        </w:rPr>
        <w:t xml:space="preserve"> of $999 million, an increase to </w:t>
      </w:r>
      <w:r>
        <w:rPr>
          <w:rFonts w:ascii="Times New Roman" w:cs="Times New Roman" w:eastAsia="Times New Roman" w:hAnsi="Times New Roman"/>
          <w:sz w:val="17"/>
          <w:szCs w:val="17"/>
          <w:i w:val="1"/>
          <w:iCs w:val="1"/>
          <w:color w:val="auto"/>
        </w:rPr>
        <w:t>Prepaid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expenses and other current assets </w:t>
      </w:r>
      <w:r>
        <w:rPr>
          <w:rFonts w:ascii="Times New Roman" w:cs="Times New Roman" w:eastAsia="Times New Roman" w:hAnsi="Times New Roman"/>
          <w:sz w:val="17"/>
          <w:szCs w:val="17"/>
          <w:color w:val="auto"/>
        </w:rPr>
        <w:t>of $1 million to reflect short-term capitalized debt issuance costs, and an increase to</w:t>
      </w:r>
      <w:r>
        <w:rPr>
          <w:rFonts w:ascii="Times New Roman" w:cs="Times New Roman" w:eastAsia="Times New Roman" w:hAnsi="Times New Roman"/>
          <w:sz w:val="17"/>
          <w:szCs w:val="17"/>
          <w:i w:val="1"/>
          <w:iCs w:val="1"/>
          <w:color w:val="auto"/>
        </w:rPr>
        <w:t xml:space="preserve"> Short-term debt </w:t>
      </w:r>
      <w:r>
        <w:rPr>
          <w:rFonts w:ascii="Times New Roman" w:cs="Times New Roman" w:eastAsia="Times New Roman" w:hAnsi="Times New Roman"/>
          <w:sz w:val="17"/>
          <w:szCs w:val="17"/>
          <w:color w:val="auto"/>
        </w:rPr>
        <w:t>of $1.0 billion.</w:t>
      </w:r>
    </w:p>
    <w:p>
      <w:pPr>
        <w:spacing w:after="0" w:line="155" w:lineRule="exact"/>
        <w:rPr>
          <w:rFonts w:ascii="Times New Roman" w:cs="Times New Roman" w:eastAsia="Times New Roman" w:hAnsi="Times New Roman"/>
          <w:sz w:val="17"/>
          <w:szCs w:val="17"/>
          <w:color w:val="auto"/>
        </w:rPr>
      </w:pPr>
    </w:p>
    <w:p>
      <w:pPr>
        <w:ind w:left="-20" w:right="120" w:firstLine="656"/>
        <w:spacing w:after="0" w:line="284" w:lineRule="auto"/>
        <w:tabs>
          <w:tab w:leader="none" w:pos="128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the elimination of $7 million in </w:t>
      </w:r>
      <w:r>
        <w:rPr>
          <w:rFonts w:ascii="Times New Roman" w:cs="Times New Roman" w:eastAsia="Times New Roman" w:hAnsi="Times New Roman"/>
          <w:sz w:val="18"/>
          <w:szCs w:val="18"/>
          <w:i w:val="1"/>
          <w:iCs w:val="1"/>
          <w:color w:val="auto"/>
        </w:rPr>
        <w:t>Accounts receivable - Oil and natural gas sales, net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Accounts payable - trade</w:t>
      </w:r>
      <w:r>
        <w:rPr>
          <w:rFonts w:ascii="Times New Roman" w:cs="Times New Roman" w:eastAsia="Times New Roman" w:hAnsi="Times New Roman"/>
          <w:sz w:val="18"/>
          <w:szCs w:val="18"/>
          <w:color w:val="auto"/>
        </w:rPr>
        <w:t>, for balances receivable and payable between Diamondback and Endeavor at June 30, 2024 in the pro forma balance sheet.</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17" w:right="359" w:bottom="1440" w:gutter="0" w:footer="0" w:header="0"/>
        </w:sectPr>
      </w:pPr>
    </w:p>
    <w:bookmarkStart w:id="39" w:name="page40"/>
    <w:bookmarkEnd w:id="39"/>
    <w:p>
      <w:pPr>
        <w:ind w:firstLine="656"/>
        <w:spacing w:after="0" w:line="256" w:lineRule="auto"/>
        <w:tabs>
          <w:tab w:leader="none" w:pos="126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$79 million of non-recurring costs related to the Acquisition primarily consisting of fees paid to financial, legal and accounting advisors and filing fees. The costs are not reflected in the historical December 31, 2023 or June 30, 2024 financial statements of Diamondback or Endeavor, but are reflected in the pro forma balance sheet as of December 31, 2023 as an increase to </w:t>
      </w:r>
      <w:r>
        <w:rPr>
          <w:rFonts w:ascii="Times New Roman" w:cs="Times New Roman" w:eastAsia="Times New Roman" w:hAnsi="Times New Roman"/>
          <w:sz w:val="18"/>
          <w:szCs w:val="18"/>
          <w:i w:val="1"/>
          <w:iCs w:val="1"/>
          <w:color w:val="auto"/>
        </w:rPr>
        <w:t>Other accrued liabilities</w:t>
      </w:r>
      <w:r>
        <w:rPr>
          <w:rFonts w:ascii="Times New Roman" w:cs="Times New Roman" w:eastAsia="Times New Roman" w:hAnsi="Times New Roman"/>
          <w:sz w:val="18"/>
          <w:szCs w:val="18"/>
          <w:color w:val="auto"/>
        </w:rPr>
        <w:t xml:space="preserve"> and a decrease to </w:t>
      </w:r>
      <w:r>
        <w:rPr>
          <w:rFonts w:ascii="Times New Roman" w:cs="Times New Roman" w:eastAsia="Times New Roman" w:hAnsi="Times New Roman"/>
          <w:sz w:val="18"/>
          <w:szCs w:val="18"/>
          <w:i w:val="1"/>
          <w:iCs w:val="1"/>
          <w:color w:val="auto"/>
        </w:rPr>
        <w:t>Retained earnings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(accumulated deficit)</w:t>
      </w:r>
      <w:r>
        <w:rPr>
          <w:rFonts w:ascii="Times New Roman" w:cs="Times New Roman" w:eastAsia="Times New Roman" w:hAnsi="Times New Roman"/>
          <w:sz w:val="18"/>
          <w:szCs w:val="18"/>
          <w:color w:val="auto"/>
        </w:rPr>
        <w:t>, and in the pro forma statement of operations for the year ended December 31, 2023 within</w:t>
      </w:r>
      <w:r>
        <w:rPr>
          <w:rFonts w:ascii="Times New Roman" w:cs="Times New Roman" w:eastAsia="Times New Roman" w:hAnsi="Times New Roman"/>
          <w:sz w:val="18"/>
          <w:szCs w:val="18"/>
          <w:i w:val="1"/>
          <w:iCs w:val="1"/>
          <w:color w:val="auto"/>
        </w:rPr>
        <w:t xml:space="preserve"> Merger and integration expenses </w:t>
      </w:r>
      <w:r>
        <w:rPr>
          <w:rFonts w:ascii="Times New Roman" w:cs="Times New Roman" w:eastAsia="Times New Roman" w:hAnsi="Times New Roman"/>
          <w:sz w:val="18"/>
          <w:szCs w:val="18"/>
          <w:color w:val="auto"/>
        </w:rPr>
        <w:t>as they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 directly to the Acquisition and will be expensed by Diamondback as incurred. These costs are not expected to be incurred in any period beyond 12 months from the Closing Date.</w:t>
      </w:r>
    </w:p>
    <w:p>
      <w:pPr>
        <w:spacing w:after="0" w:line="185" w:lineRule="exact"/>
        <w:rPr>
          <w:rFonts w:ascii="Times New Roman" w:cs="Times New Roman" w:eastAsia="Times New Roman" w:hAnsi="Times New Roman"/>
          <w:sz w:val="18"/>
          <w:szCs w:val="18"/>
          <w:color w:val="auto"/>
        </w:rPr>
      </w:pPr>
    </w:p>
    <w:p>
      <w:pPr>
        <w:ind w:right="40" w:firstLine="656"/>
        <w:spacing w:after="0" w:line="284" w:lineRule="auto"/>
        <w:tabs>
          <w:tab w:leader="none" w:pos="126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pro-forma adjustments of $1 million and ($38) million recorded to </w:t>
      </w: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xml:space="preserve"> on the pro forma statements of operations for the six months ended June 30, 2024 and the year ended December 31, 2023, respectively, were comprised of the following:</w:t>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Pro forma statement of operations for the six months ended June 30, 2024:</w:t>
      </w:r>
    </w:p>
    <w:p>
      <w:pPr>
        <w:spacing w:after="0" w:line="229" w:lineRule="exact"/>
        <w:rPr>
          <w:sz w:val="20"/>
          <w:szCs w:val="20"/>
          <w:color w:val="auto"/>
        </w:rPr>
      </w:pPr>
    </w:p>
    <w:p>
      <w:pPr>
        <w:ind w:left="1300" w:right="100" w:hanging="320"/>
        <w:spacing w:after="0" w:line="261" w:lineRule="auto"/>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$185 million comprised of (i) $152 million interest expense on Diamondback’s $5.5 billion senior notes issued in April 2024 (the “April 2024 senior notes”) with a weighted average interest rate of 5.52%, and (ii) $33 million interest expense on a pro-forma $1.0 billion revolving credit facility balance with an interest rate of 6.58%, which is a pro-forma replacement for the $1.0 billion short-term term loan balance;</w:t>
      </w:r>
    </w:p>
    <w:p>
      <w:pPr>
        <w:spacing w:after="0" w:line="17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$1 million due to higher pro-forma amortization of debt issuance costs related to the April 2024 senior notes;</w:t>
      </w:r>
    </w:p>
    <w:p>
      <w:pPr>
        <w:spacing w:after="0" w:line="225" w:lineRule="exact"/>
        <w:rPr>
          <w:rFonts w:ascii="Times New Roman" w:cs="Times New Roman" w:eastAsia="Times New Roman" w:hAnsi="Times New Roman"/>
          <w:sz w:val="18"/>
          <w:szCs w:val="18"/>
          <w:color w:val="auto"/>
        </w:rPr>
      </w:pPr>
    </w:p>
    <w:p>
      <w:pPr>
        <w:ind w:left="1300" w:right="240" w:hanging="320"/>
        <w:spacing w:after="0" w:line="282" w:lineRule="auto"/>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$71 million related to the reversal of interest income earned by Diamondback in 2024 on the cash proceeds of the new debt issued in 2024 to fund the cash portion of the Acquisition consideration;</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$185 million related to capitalized interest calculated in accordance with our accounting policy;</w:t>
      </w:r>
    </w:p>
    <w:p>
      <w:pPr>
        <w:spacing w:after="0" w:line="225" w:lineRule="exact"/>
        <w:rPr>
          <w:rFonts w:ascii="Times New Roman" w:cs="Times New Roman" w:eastAsia="Times New Roman" w:hAnsi="Times New Roman"/>
          <w:sz w:val="18"/>
          <w:szCs w:val="18"/>
          <w:color w:val="auto"/>
        </w:rPr>
      </w:pPr>
    </w:p>
    <w:p>
      <w:pPr>
        <w:ind w:left="1300" w:right="300" w:hanging="320"/>
        <w:spacing w:after="0" w:line="282" w:lineRule="auto"/>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$61 million reflecting the reversal of Diamondback’s historically reported interest expense incurred during the six months ended June 30, 2024 related to the April 2024 senior notes; and</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$12 million reflecting the reversal of Endeavor’s historically reported net interest expense.</w:t>
      </w:r>
    </w:p>
    <w:p>
      <w:pPr>
        <w:spacing w:after="0" w:line="22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 forma statement of operations for the year ended December 31, 2023:</w:t>
      </w:r>
    </w:p>
    <w:p>
      <w:pPr>
        <w:spacing w:after="0" w:line="229" w:lineRule="exact"/>
        <w:rPr>
          <w:rFonts w:ascii="Times New Roman" w:cs="Times New Roman" w:eastAsia="Times New Roman" w:hAnsi="Times New Roman"/>
          <w:sz w:val="18"/>
          <w:szCs w:val="18"/>
          <w:color w:val="auto"/>
        </w:rPr>
      </w:pPr>
    </w:p>
    <w:p>
      <w:pPr>
        <w:ind w:left="1300" w:right="120" w:hanging="320"/>
        <w:spacing w:after="0" w:line="261" w:lineRule="auto"/>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$371 million comprised of (i) $304 million in interest expense on Diamondback’s $5.5 billion April 2024 senior notes with a weighted average interest rate of 5.52%, (ii) $66 million in interest expense on the $1.0 billion term loan with an interest rate of 6.58%, and (iii) $1 million in incremental commitment fees on Diamondback’s undrawn revolving credit facility due to an increase of $900 million in the maximum commitment amount available upon close of the Acquisition;</w:t>
      </w:r>
    </w:p>
    <w:p>
      <w:pPr>
        <w:spacing w:after="0" w:line="179" w:lineRule="exact"/>
        <w:rPr>
          <w:rFonts w:ascii="Times New Roman" w:cs="Times New Roman" w:eastAsia="Times New Roman" w:hAnsi="Times New Roman"/>
          <w:sz w:val="18"/>
          <w:szCs w:val="18"/>
          <w:color w:val="auto"/>
        </w:rPr>
      </w:pPr>
    </w:p>
    <w:p>
      <w:pPr>
        <w:ind w:left="1300" w:right="260" w:hanging="320"/>
        <w:spacing w:after="0" w:line="282" w:lineRule="auto"/>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$3 million due to incremental amortization of debt issuance costs incurred related to the term loan facility that have not yet been reflected in the historical financial statements;</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$5 million due to amortization of debt issuance costs related to the April 2024 senior notes;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$28 million reflecting the reversal of Endeavor’s historically reported net interest income;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$369 million related to capitalized interest calculated in accordance with our accounting policy.</w:t>
      </w:r>
    </w:p>
    <w:p>
      <w:pPr>
        <w:spacing w:after="0" w:line="225" w:lineRule="exact"/>
        <w:rPr>
          <w:sz w:val="20"/>
          <w:szCs w:val="20"/>
          <w:color w:val="auto"/>
        </w:rPr>
      </w:pPr>
    </w:p>
    <w:p>
      <w:pPr>
        <w:jc w:val="both"/>
        <w:ind w:right="420" w:firstLine="648"/>
        <w:spacing w:after="0" w:line="282" w:lineRule="auto"/>
        <w:rPr>
          <w:sz w:val="20"/>
          <w:szCs w:val="20"/>
          <w:color w:val="auto"/>
        </w:rPr>
      </w:pPr>
      <w:r>
        <w:rPr>
          <w:rFonts w:ascii="Times New Roman" w:cs="Times New Roman" w:eastAsia="Times New Roman" w:hAnsi="Times New Roman"/>
          <w:sz w:val="18"/>
          <w:szCs w:val="18"/>
          <w:color w:val="auto"/>
        </w:rPr>
        <w:t>A 1/8 of a percentage point increase or decrease in the SOFR rate and weighted average pro-forma coupon rate on the notes would result in a change in interest expense of approximately $8 million for the year ended December 31, 2023 and $4 million for the six months ended June 30, 2024.</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ind w:right="200" w:firstLine="656"/>
        <w:spacing w:after="0" w:line="266" w:lineRule="auto"/>
        <w:tabs>
          <w:tab w:leader="none" w:pos="130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tax effect of the transaction accounting adjustments above on the pro forma statements of operations for the six months ended June 30, 2024 and year ended December 31, 2023, to the extent the amounts are expected to be deductible or taxable as appropriate, at the blended federal and state statutory tax rate of 21.6%.</w:t>
      </w:r>
    </w:p>
    <w:p>
      <w:pPr>
        <w:spacing w:after="0" w:line="176"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For the year ended December 31, 2023, the adjustment also reflects the application of the blended rate of 21.6% to Endeavor’s historically reported </w:t>
      </w:r>
      <w:r>
        <w:rPr>
          <w:rFonts w:ascii="Times New Roman" w:cs="Times New Roman" w:eastAsia="Times New Roman" w:hAnsi="Times New Roman"/>
          <w:sz w:val="18"/>
          <w:szCs w:val="18"/>
          <w:i w:val="1"/>
          <w:iCs w:val="1"/>
          <w:color w:val="auto"/>
        </w:rPr>
        <w:t>Income (loss) before income taxes</w:t>
      </w:r>
      <w:r>
        <w:rPr>
          <w:rFonts w:ascii="Times New Roman" w:cs="Times New Roman" w:eastAsia="Times New Roman" w:hAnsi="Times New Roman"/>
          <w:sz w:val="18"/>
          <w:szCs w:val="18"/>
          <w:color w:val="auto"/>
        </w:rPr>
        <w:t xml:space="preserve"> for which no income tax expense was historically reported due to Endeavor’s status as an S-Corporation.</w:t>
      </w:r>
    </w:p>
    <w:p>
      <w:pPr>
        <w:spacing w:after="0" w:line="162"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Effective January 1, 2024, Endeavor was converted to a C-Corporation and became subject to U.S. federal corporate income tax rules and GAAP requirements for income tax accounting. At the time of conversion, Endeavor recorded a deferred tax liability and income tax expense of approximately $1.6 billion for the difference between the book basis of its assets and the tax basis as determined as of January 1, 2024. For further discussion, refer to Endeavor’s unaudited consolidated financial statements for the six months ended June 30, 2024, which are included in Exhibit 99.1 to this Form 8-K/A.</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As a result of Endeavor’s recognition and reporting of corporate income tax in the historical financial statements for the six months ended June 30, 2024, no additional pro forma income tax adjustment was applied to the </w:t>
      </w:r>
      <w:r>
        <w:rPr>
          <w:rFonts w:ascii="Times New Roman" w:cs="Times New Roman" w:eastAsia="Times New Roman" w:hAnsi="Times New Roman"/>
          <w:sz w:val="18"/>
          <w:szCs w:val="18"/>
          <w:i w:val="1"/>
          <w:iCs w:val="1"/>
          <w:color w:val="auto"/>
        </w:rPr>
        <w:t>Income (loss) before income taxes</w:t>
      </w:r>
      <w:r>
        <w:rPr>
          <w:rFonts w:ascii="Times New Roman" w:cs="Times New Roman" w:eastAsia="Times New Roman" w:hAnsi="Times New Roman"/>
          <w:sz w:val="18"/>
          <w:szCs w:val="18"/>
          <w:color w:val="auto"/>
        </w:rPr>
        <w:t xml:space="preserve"> historically reported by Endeavor for the period then ended.</w:t>
      </w:r>
    </w:p>
    <w:p>
      <w:pPr>
        <w:spacing w:after="0" w:line="176" w:lineRule="exact"/>
        <w:rPr>
          <w:sz w:val="20"/>
          <w:szCs w:val="20"/>
          <w:color w:val="auto"/>
        </w:rPr>
      </w:pPr>
    </w:p>
    <w:p>
      <w:pPr>
        <w:ind w:right="20" w:firstLine="656"/>
        <w:spacing w:after="0" w:line="266" w:lineRule="auto"/>
        <w:tabs>
          <w:tab w:leader="none" w:pos="126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issuance of approximately 117.27 million shares of common stock to the holders of the Endeavor Interests to partially finance the Acquisition. The additional shares were assumed to have been outstanding since January 1, 2023. The following table reconciles historical and pro forma basic and diluted earnings per share utilizing the two-class method for the periods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c>
          <w:tcPr>
            <w:tcW w:w="25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r>
      <w:tr>
        <w:trPr>
          <w:trHeight w:val="194"/>
        </w:trPr>
        <w:tc>
          <w:tcPr>
            <w:tcW w:w="59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Diamondback</w:t>
            </w: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Diamondback</w:t>
            </w:r>
          </w:p>
        </w:tc>
        <w:tc>
          <w:tcPr>
            <w:tcW w:w="100" w:type="dxa"/>
            <w:vAlign w:val="bottom"/>
          </w:tcPr>
          <w:p>
            <w:pPr>
              <w:spacing w:after="0"/>
              <w:rPr>
                <w:sz w:val="16"/>
                <w:szCs w:val="16"/>
                <w:color w:val="auto"/>
              </w:rPr>
            </w:pPr>
          </w:p>
        </w:tc>
      </w:tr>
      <w:tr>
        <w:trPr>
          <w:trHeight w:val="216"/>
        </w:trPr>
        <w:tc>
          <w:tcPr>
            <w:tcW w:w="5980" w:type="dxa"/>
            <w:vAlign w:val="bottom"/>
          </w:tcPr>
          <w:p>
            <w:pPr>
              <w:spacing w:after="0"/>
              <w:rPr>
                <w:sz w:val="18"/>
                <w:szCs w:val="18"/>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Diamondback</w:t>
            </w:r>
          </w:p>
        </w:tc>
        <w:tc>
          <w:tcPr>
            <w:tcW w:w="120" w:type="dxa"/>
            <w:vAlign w:val="bottom"/>
          </w:tcPr>
          <w:p>
            <w:pPr>
              <w:spacing w:after="0"/>
              <w:rPr>
                <w:sz w:val="18"/>
                <w:szCs w:val="18"/>
                <w:color w:val="auto"/>
              </w:rPr>
            </w:pPr>
          </w:p>
        </w:tc>
        <w:tc>
          <w:tcPr>
            <w:tcW w:w="12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9"/>
              </w:rPr>
              <w:t>Pro Forma</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Diamondback</w:t>
            </w:r>
          </w:p>
        </w:tc>
        <w:tc>
          <w:tcPr>
            <w:tcW w:w="120" w:type="dxa"/>
            <w:vAlign w:val="bottom"/>
          </w:tcPr>
          <w:p>
            <w:pPr>
              <w:spacing w:after="0"/>
              <w:rPr>
                <w:sz w:val="18"/>
                <w:szCs w:val="18"/>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Pro Forma</w:t>
            </w:r>
          </w:p>
        </w:tc>
      </w:tr>
      <w:tr>
        <w:trPr>
          <w:trHeight w:val="245"/>
        </w:trPr>
        <w:tc>
          <w:tcPr>
            <w:tcW w:w="59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(Historical)</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Combined</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(Historical)</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Combined</w:t>
            </w:r>
          </w:p>
        </w:tc>
        <w:tc>
          <w:tcPr>
            <w:tcW w:w="100" w:type="dxa"/>
            <w:vAlign w:val="bottom"/>
          </w:tcPr>
          <w:p>
            <w:pPr>
              <w:spacing w:after="0"/>
              <w:rPr>
                <w:sz w:val="21"/>
                <w:szCs w:val="21"/>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5"/>
              </w:rPr>
              <w:t>(In</w:t>
            </w: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2"/>
              </w:rPr>
              <w:t>millions, except</w:t>
            </w:r>
          </w:p>
        </w:tc>
        <w:tc>
          <w:tcPr>
            <w:tcW w:w="166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per share amounts)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common stock</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1,151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3,143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5,409</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Less: distributed and undistributed earnings allocated to participating securities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r>
      <w:tr>
        <w:trPr>
          <w:trHeight w:val="25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240" w:type="dxa"/>
            <w:vAlign w:val="bottom"/>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220" w:type="dxa"/>
            <w:vAlign w:val="bottom"/>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w:t>
            </w:r>
          </w:p>
        </w:tc>
        <w:tc>
          <w:tcPr>
            <w:tcW w:w="220" w:type="dxa"/>
            <w:vAlign w:val="bottom"/>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5,383</w:t>
            </w:r>
          </w:p>
        </w:tc>
        <w:tc>
          <w:tcPr>
            <w:tcW w:w="100" w:type="dxa"/>
            <w:vAlign w:val="bottom"/>
            <w:shd w:val="clear" w:color="auto" w:fill="CCEEFF"/>
          </w:tcPr>
          <w:p>
            <w:pPr>
              <w:spacing w:after="0"/>
              <w:rPr>
                <w:sz w:val="22"/>
                <w:szCs w:val="22"/>
                <w:color w:val="auto"/>
              </w:rPr>
            </w:pPr>
          </w:p>
        </w:tc>
      </w:tr>
      <w:tr>
        <w:trPr>
          <w:trHeight w:val="210"/>
        </w:trPr>
        <w:tc>
          <w:tcPr>
            <w:tcW w:w="59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178,418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295,685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179,999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297,266</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Weighted-average potential common shares issuable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9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178,418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295,685</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179,999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297,266</w:t>
            </w:r>
          </w:p>
        </w:tc>
      </w:tr>
      <w:tr>
        <w:trPr>
          <w:trHeight w:val="21"/>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common share, basic</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100" w:type="dxa"/>
            <w:vAlign w:val="bottom"/>
            <w:shd w:val="clear" w:color="auto" w:fill="CCEEFF"/>
          </w:tcPr>
          <w:p>
            <w:pPr>
              <w:spacing w:after="0"/>
              <w:rPr>
                <w:sz w:val="18"/>
                <w:szCs w:val="18"/>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common share, diluted</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8.93</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17.34</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18.11</w:t>
            </w:r>
          </w:p>
        </w:tc>
      </w:tr>
    </w:tbl>
    <w:p>
      <w:pPr>
        <w:spacing w:after="0" w:line="179" w:lineRule="exact"/>
        <w:rPr>
          <w:sz w:val="20"/>
          <w:szCs w:val="20"/>
          <w:color w:val="auto"/>
        </w:rPr>
      </w:pPr>
    </w:p>
    <w:p>
      <w:pPr>
        <w:ind w:right="20" w:firstLine="656"/>
        <w:spacing w:after="0" w:line="256" w:lineRule="auto"/>
        <w:tabs>
          <w:tab w:leader="none" w:pos="135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$31 million in severance payments made by us for the termination of certain Endeavor employees on the Closing Date as a reduction to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Retained earnings</w:t>
      </w:r>
      <w:r>
        <w:rPr>
          <w:rFonts w:ascii="Times New Roman" w:cs="Times New Roman" w:eastAsia="Times New Roman" w:hAnsi="Times New Roman"/>
          <w:sz w:val="18"/>
          <w:szCs w:val="18"/>
          <w:color w:val="auto"/>
        </w:rPr>
        <w:t xml:space="preserve"> on the pro forma balance sheet and an increase to </w:t>
      </w:r>
      <w:r>
        <w:rPr>
          <w:rFonts w:ascii="Times New Roman" w:cs="Times New Roman" w:eastAsia="Times New Roman" w:hAnsi="Times New Roman"/>
          <w:sz w:val="18"/>
          <w:szCs w:val="18"/>
          <w:i w:val="1"/>
          <w:iCs w:val="1"/>
          <w:color w:val="auto"/>
        </w:rPr>
        <w:t>Merger and integration expenses</w:t>
      </w:r>
      <w:r>
        <w:rPr>
          <w:rFonts w:ascii="Times New Roman" w:cs="Times New Roman" w:eastAsia="Times New Roman" w:hAnsi="Times New Roman"/>
          <w:sz w:val="18"/>
          <w:szCs w:val="18"/>
          <w:color w:val="auto"/>
        </w:rPr>
        <w:t xml:space="preserve"> on the pro forma statement of operations for the year ended December 31, 2023. Additionally, we may incur up to an additional $157 million in severance and other incentive compensation related expenses to be settled in cash in future periods, which are not adjusted in the pro forma financial statements. Payment of the remaining severance and other incentive compensation will be based on the terms of the historical Endeavor severance and incentive compensation plans or the voluntary acceleration of payouts under these plans by us.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ind w:left="600" w:hanging="592"/>
        <w:spacing w:after="0"/>
        <w:tabs>
          <w:tab w:leader="none" w:pos="60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SUPPLEMENTAL PRO FORMA OIL AND NATURAL GAS RESERVES INFORMATION</w:t>
      </w:r>
    </w:p>
    <w:p>
      <w:pPr>
        <w:spacing w:after="0" w:line="22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The following tables present estimated pro forma combined oil and natural gas reserves information as of and for the year ended December 31, 2023. The amounts below were determined by referencing the amounts reported in Diamondback’s Annual Report on Form 10-K for the year ended December 31, 2023 and in the consolidated financial statements and supplemental schedules of Endeavor (which are incorporated by reference into the 8-K/A to which these pro forma financial statements are included as an exhibit). An explanation of the underlying methodology applied, as required by SEC regulations, can be found within Diamondback’s Annual Report and Endeavor’s consolidated financial statements and supplemental schedules. The following estimated pro forma combined oil and gas reserves information is not necessarily indicative of the results that might have occurred had the Acquisition been completed on December 31, 2023 and is not intended to be a projection of future results. Future results may vary significantly from the results presented. The following tables present the estimated pro forma combined net proved developed and undeveloped oil and gas reserves information as of December 31, 2023, along with a summary of changes in quantities of net remaining proved reserves during the year ended December 31, 2023.</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5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4"/>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Oil (MBbls)</w:t>
            </w: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45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Diamondback</w:t>
            </w:r>
          </w:p>
        </w:tc>
        <w:tc>
          <w:tcPr>
            <w:tcW w:w="100" w:type="dxa"/>
            <w:vAlign w:val="bottom"/>
          </w:tcPr>
          <w:p>
            <w:pPr>
              <w:spacing w:after="0"/>
              <w:rPr>
                <w:sz w:val="16"/>
                <w:szCs w:val="16"/>
                <w:color w:val="auto"/>
              </w:rPr>
            </w:pPr>
          </w:p>
        </w:tc>
      </w:tr>
      <w:tr>
        <w:trPr>
          <w:trHeight w:val="216"/>
        </w:trPr>
        <w:tc>
          <w:tcPr>
            <w:tcW w:w="4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Diamondback</w:t>
            </w: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Endeavor</w:t>
            </w: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Reclass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Pro Forma</w:t>
            </w:r>
          </w:p>
        </w:tc>
      </w:tr>
      <w:tr>
        <w:trPr>
          <w:trHeight w:val="245"/>
        </w:trPr>
        <w:tc>
          <w:tcPr>
            <w:tcW w:w="45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Combined</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Proved Developed and Undeveloped Reserves:</w:t>
            </w:r>
          </w:p>
        </w:tc>
        <w:tc>
          <w:tcPr>
            <w:tcW w:w="14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2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1,069,508</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683,373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1,752,881</w:t>
            </w:r>
          </w:p>
        </w:tc>
      </w:tr>
      <w:tr>
        <w:trPr>
          <w:trHeight w:val="216"/>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Extensions and discoveries</w:t>
            </w: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206,562</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21,089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149,107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376,758</w:t>
            </w:r>
          </w:p>
        </w:tc>
      </w:tr>
      <w:tr>
        <w:trPr>
          <w:trHeight w:val="216"/>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Revisions of previous estimates</w:t>
            </w:r>
          </w:p>
        </w:tc>
        <w:tc>
          <w:tcPr>
            <w:tcW w:w="2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(56,482)</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(125,347)</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(8,507)</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(190,336)</w:t>
            </w:r>
          </w:p>
        </w:tc>
      </w:tr>
      <w:tr>
        <w:trPr>
          <w:trHeight w:val="216"/>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reserves in place</w:t>
            </w:r>
          </w:p>
        </w:tc>
        <w:tc>
          <w:tcPr>
            <w:tcW w:w="28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41,790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2,086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43,876</w:t>
            </w:r>
          </w:p>
        </w:tc>
      </w:tr>
      <w:tr>
        <w:trPr>
          <w:trHeight w:val="216"/>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Divestitures</w:t>
            </w:r>
          </w:p>
        </w:tc>
        <w:tc>
          <w:tcPr>
            <w:tcW w:w="2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(21,258)</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(22,022)</w:t>
            </w:r>
          </w:p>
        </w:tc>
      </w:tr>
      <w:tr>
        <w:trPr>
          <w:trHeight w:val="216"/>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Production</w:t>
            </w:r>
          </w:p>
        </w:tc>
        <w:tc>
          <w:tcPr>
            <w:tcW w:w="28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(96,176)</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(70,004)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(166,180)</w:t>
            </w:r>
          </w:p>
        </w:tc>
      </w:tr>
      <w:tr>
        <w:trPr>
          <w:trHeight w:val="216"/>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PUD additions</w:t>
            </w:r>
          </w:p>
        </w:tc>
        <w:tc>
          <w:tcPr>
            <w:tcW w:w="14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149,107</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(149,107)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Economic effect</w:t>
            </w:r>
          </w:p>
        </w:tc>
        <w:tc>
          <w:tcPr>
            <w:tcW w:w="142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(8,507)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8,507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4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1,143,944</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651,033</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1,794,977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4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Proved Developed Reserves:</w:t>
            </w:r>
          </w:p>
        </w:tc>
        <w:tc>
          <w:tcPr>
            <w:tcW w:w="1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2022</w:t>
            </w: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699,513</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369,003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1,068,516</w:t>
            </w:r>
          </w:p>
        </w:tc>
      </w:tr>
      <w:tr>
        <w:trPr>
          <w:trHeight w:val="216"/>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2023</w:t>
            </w:r>
          </w:p>
        </w:tc>
        <w:tc>
          <w:tcPr>
            <w:tcW w:w="2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744,103</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379,329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1,123,432</w:t>
            </w:r>
          </w:p>
        </w:tc>
      </w:tr>
      <w:tr>
        <w:trPr>
          <w:trHeight w:val="216"/>
        </w:trPr>
        <w:tc>
          <w:tcPr>
            <w:tcW w:w="4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Proved Undeveloped Reserves:</w:t>
            </w:r>
          </w:p>
        </w:tc>
        <w:tc>
          <w:tcPr>
            <w:tcW w:w="1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2022</w:t>
            </w: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369,995</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314,370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684,365</w:t>
            </w:r>
          </w:p>
        </w:tc>
      </w:tr>
      <w:tr>
        <w:trPr>
          <w:trHeight w:val="216"/>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2023</w:t>
            </w:r>
          </w:p>
        </w:tc>
        <w:tc>
          <w:tcPr>
            <w:tcW w:w="2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399,841</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271,704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671,545</w:t>
            </w:r>
          </w:p>
        </w:tc>
      </w:tr>
      <w:tr>
        <w:trPr>
          <w:trHeight w:val="557"/>
        </w:trPr>
        <w:tc>
          <w:tcPr>
            <w:tcW w:w="4560" w:type="dxa"/>
            <w:vAlign w:val="bottom"/>
          </w:tcPr>
          <w:p>
            <w:pPr>
              <w:spacing w:after="0"/>
              <w:rPr>
                <w:sz w:val="24"/>
                <w:szCs w:val="24"/>
                <w:color w:val="auto"/>
              </w:rPr>
            </w:pPr>
          </w:p>
        </w:tc>
        <w:tc>
          <w:tcPr>
            <w:tcW w:w="142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13</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45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7" w:right="339" w:bottom="144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5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4"/>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Natural Gas (MMcf)</w:t>
            </w: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45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Diamondback</w:t>
            </w:r>
          </w:p>
        </w:tc>
        <w:tc>
          <w:tcPr>
            <w:tcW w:w="100" w:type="dxa"/>
            <w:vAlign w:val="bottom"/>
          </w:tcPr>
          <w:p>
            <w:pPr>
              <w:spacing w:after="0"/>
              <w:rPr>
                <w:sz w:val="16"/>
                <w:szCs w:val="16"/>
                <w:color w:val="auto"/>
              </w:rPr>
            </w:pPr>
          </w:p>
        </w:tc>
      </w:tr>
      <w:tr>
        <w:trPr>
          <w:trHeight w:val="216"/>
        </w:trPr>
        <w:tc>
          <w:tcPr>
            <w:tcW w:w="4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Diamondback</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Endeavor</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Reclass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Pro Forma</w:t>
            </w:r>
          </w:p>
        </w:tc>
      </w:tr>
      <w:tr>
        <w:trPr>
          <w:trHeight w:val="245"/>
        </w:trPr>
        <w:tc>
          <w:tcPr>
            <w:tcW w:w="45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(Historical)</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(Historical)</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Combined</w:t>
            </w:r>
          </w:p>
        </w:tc>
      </w:tr>
      <w:tr>
        <w:trPr>
          <w:trHeight w:val="432"/>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Proved Developed and Undeveloped Reserves:</w:t>
            </w:r>
          </w:p>
        </w:tc>
        <w:tc>
          <w:tcPr>
            <w:tcW w:w="14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2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2,868,861</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2,229,824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5,098,685</w:t>
            </w:r>
          </w:p>
        </w:tc>
      </w:tr>
      <w:tr>
        <w:trPr>
          <w:trHeight w:val="216"/>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Extensions and discoveries</w:t>
            </w: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424,881</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57,817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453,179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935,877</w:t>
            </w:r>
          </w:p>
        </w:tc>
      </w:tr>
      <w:tr>
        <w:trPr>
          <w:trHeight w:val="216"/>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Revisions of previous estimates</w:t>
            </w:r>
          </w:p>
        </w:tc>
        <w:tc>
          <w:tcPr>
            <w:tcW w:w="2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(47,697)</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(170,015)</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(52,331)</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(270,043)</w:t>
            </w:r>
          </w:p>
        </w:tc>
      </w:tr>
      <w:tr>
        <w:trPr>
          <w:trHeight w:val="216"/>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reserves in place</w:t>
            </w:r>
          </w:p>
        </w:tc>
        <w:tc>
          <w:tcPr>
            <w:tcW w:w="28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79,507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17,130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96,637</w:t>
            </w:r>
          </w:p>
        </w:tc>
      </w:tr>
      <w:tr>
        <w:trPr>
          <w:trHeight w:val="216"/>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Divestitures</w:t>
            </w:r>
          </w:p>
        </w:tc>
        <w:tc>
          <w:tcPr>
            <w:tcW w:w="2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(130,013)</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(1,407)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(131,420)</w:t>
            </w:r>
          </w:p>
        </w:tc>
      </w:tr>
      <w:tr>
        <w:trPr>
          <w:trHeight w:val="216"/>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Production</w:t>
            </w:r>
          </w:p>
        </w:tc>
        <w:tc>
          <w:tcPr>
            <w:tcW w:w="28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(198,117)</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(148,175)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(346,292)</w:t>
            </w:r>
          </w:p>
        </w:tc>
      </w:tr>
      <w:tr>
        <w:trPr>
          <w:trHeight w:val="216"/>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PUD additions</w:t>
            </w:r>
          </w:p>
        </w:tc>
        <w:tc>
          <w:tcPr>
            <w:tcW w:w="14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453,179</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(453,179)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Economic effect</w:t>
            </w:r>
          </w:p>
        </w:tc>
        <w:tc>
          <w:tcPr>
            <w:tcW w:w="142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(52,331)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52,331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4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2,997,422</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2,386,022</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5,383,444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4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Proved Developed Reserves:</w:t>
            </w:r>
          </w:p>
        </w:tc>
        <w:tc>
          <w:tcPr>
            <w:tcW w:w="1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2022</w:t>
            </w: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2,122,782</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1,365,437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3,488,219</w:t>
            </w:r>
          </w:p>
        </w:tc>
      </w:tr>
      <w:tr>
        <w:trPr>
          <w:trHeight w:val="216"/>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2023</w:t>
            </w:r>
          </w:p>
        </w:tc>
        <w:tc>
          <w:tcPr>
            <w:tcW w:w="2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2,203,563</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1,573,030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3,776,593</w:t>
            </w:r>
          </w:p>
        </w:tc>
      </w:tr>
      <w:tr>
        <w:trPr>
          <w:trHeight w:val="216"/>
        </w:trPr>
        <w:tc>
          <w:tcPr>
            <w:tcW w:w="4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Proved Undeveloped Reserves:</w:t>
            </w:r>
          </w:p>
        </w:tc>
        <w:tc>
          <w:tcPr>
            <w:tcW w:w="1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2022</w:t>
            </w: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746,079</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864,387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1,610,466</w:t>
            </w:r>
          </w:p>
        </w:tc>
      </w:tr>
      <w:tr>
        <w:trPr>
          <w:trHeight w:val="216"/>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2023</w:t>
            </w:r>
          </w:p>
        </w:tc>
        <w:tc>
          <w:tcPr>
            <w:tcW w:w="2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793,859</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812,992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1,606,851</w:t>
            </w:r>
          </w:p>
        </w:tc>
      </w:tr>
      <w:tr>
        <w:trPr>
          <w:trHeight w:val="439"/>
        </w:trPr>
        <w:tc>
          <w:tcPr>
            <w:tcW w:w="45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Natural Gas Liquids (MBbls)</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45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Diamondback</w:t>
            </w:r>
          </w:p>
        </w:tc>
        <w:tc>
          <w:tcPr>
            <w:tcW w:w="100" w:type="dxa"/>
            <w:vAlign w:val="bottom"/>
          </w:tcPr>
          <w:p>
            <w:pPr>
              <w:spacing w:after="0"/>
              <w:rPr>
                <w:sz w:val="16"/>
                <w:szCs w:val="16"/>
                <w:color w:val="auto"/>
              </w:rPr>
            </w:pPr>
          </w:p>
        </w:tc>
      </w:tr>
      <w:tr>
        <w:trPr>
          <w:trHeight w:val="216"/>
        </w:trPr>
        <w:tc>
          <w:tcPr>
            <w:tcW w:w="4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Diamondback</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Endeavor</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Reclass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Pro Forma</w:t>
            </w:r>
          </w:p>
        </w:tc>
      </w:tr>
      <w:tr>
        <w:trPr>
          <w:trHeight w:val="245"/>
        </w:trPr>
        <w:tc>
          <w:tcPr>
            <w:tcW w:w="45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(Historical)</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(Historical)</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Combined</w:t>
            </w:r>
          </w:p>
        </w:tc>
      </w:tr>
      <w:tr>
        <w:trPr>
          <w:trHeight w:val="432"/>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Proved Developed and Undeveloped Reserves:</w:t>
            </w:r>
          </w:p>
        </w:tc>
        <w:tc>
          <w:tcPr>
            <w:tcW w:w="14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2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485,319</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458,707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944,026</w:t>
            </w:r>
          </w:p>
        </w:tc>
      </w:tr>
      <w:tr>
        <w:trPr>
          <w:trHeight w:val="216"/>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Extensions and discoveries</w:t>
            </w:r>
          </w:p>
        </w:tc>
        <w:tc>
          <w:tcPr>
            <w:tcW w:w="28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78,498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14,369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89,862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182,729</w:t>
            </w:r>
          </w:p>
        </w:tc>
      </w:tr>
      <w:tr>
        <w:trPr>
          <w:trHeight w:val="216"/>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Revisions of previous estimates</w:t>
            </w:r>
          </w:p>
        </w:tc>
        <w:tc>
          <w:tcPr>
            <w:tcW w:w="2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9,962</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(53,649)</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(8,780)</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(52,467)</w:t>
            </w:r>
          </w:p>
        </w:tc>
      </w:tr>
      <w:tr>
        <w:trPr>
          <w:trHeight w:val="216"/>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reserves in place</w:t>
            </w:r>
          </w:p>
        </w:tc>
        <w:tc>
          <w:tcPr>
            <w:tcW w:w="28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15,440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3,409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18,849</w:t>
            </w:r>
          </w:p>
        </w:tc>
      </w:tr>
      <w:tr>
        <w:trPr>
          <w:trHeight w:val="216"/>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Divestitures</w:t>
            </w:r>
          </w:p>
        </w:tc>
        <w:tc>
          <w:tcPr>
            <w:tcW w:w="2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(20,755)</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(20,979)</w:t>
            </w:r>
          </w:p>
        </w:tc>
      </w:tr>
      <w:tr>
        <w:trPr>
          <w:trHeight w:val="216"/>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Production</w:t>
            </w:r>
          </w:p>
        </w:tc>
        <w:tc>
          <w:tcPr>
            <w:tcW w:w="28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(34,217)</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(28,558)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(62,775)</w:t>
            </w:r>
          </w:p>
        </w:tc>
      </w:tr>
      <w:tr>
        <w:trPr>
          <w:trHeight w:val="216"/>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PUD additions</w:t>
            </w:r>
          </w:p>
        </w:tc>
        <w:tc>
          <w:tcPr>
            <w:tcW w:w="14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89,862</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(89,862)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Economic effect</w:t>
            </w:r>
          </w:p>
        </w:tc>
        <w:tc>
          <w:tcPr>
            <w:tcW w:w="142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(8,780)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8,780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4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534,247</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475,136</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1,009,383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4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Proved Developed Reserves:</w:t>
            </w:r>
          </w:p>
        </w:tc>
        <w:tc>
          <w:tcPr>
            <w:tcW w:w="1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2022</w:t>
            </w: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350,243</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276,068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626,311</w:t>
            </w:r>
          </w:p>
        </w:tc>
      </w:tr>
      <w:tr>
        <w:trPr>
          <w:trHeight w:val="216"/>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2023</w:t>
            </w:r>
          </w:p>
        </w:tc>
        <w:tc>
          <w:tcPr>
            <w:tcW w:w="2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385,167</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312,386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697,553</w:t>
            </w:r>
          </w:p>
        </w:tc>
      </w:tr>
      <w:tr>
        <w:trPr>
          <w:trHeight w:val="216"/>
        </w:trPr>
        <w:tc>
          <w:tcPr>
            <w:tcW w:w="4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Proved Undeveloped Reserves:</w:t>
            </w:r>
          </w:p>
        </w:tc>
        <w:tc>
          <w:tcPr>
            <w:tcW w:w="1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2022</w:t>
            </w: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135,076</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182,639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317,715</w:t>
            </w:r>
          </w:p>
        </w:tc>
      </w:tr>
      <w:tr>
        <w:trPr>
          <w:trHeight w:val="216"/>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2023</w:t>
            </w:r>
          </w:p>
        </w:tc>
        <w:tc>
          <w:tcPr>
            <w:tcW w:w="2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149,080</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162,750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311,830</w:t>
            </w:r>
          </w:p>
        </w:tc>
      </w:tr>
      <w:tr>
        <w:trPr>
          <w:trHeight w:val="557"/>
        </w:trPr>
        <w:tc>
          <w:tcPr>
            <w:tcW w:w="4560" w:type="dxa"/>
            <w:vAlign w:val="bottom"/>
          </w:tcPr>
          <w:p>
            <w:pPr>
              <w:spacing w:after="0"/>
              <w:rPr>
                <w:sz w:val="24"/>
                <w:szCs w:val="24"/>
                <w:color w:val="auto"/>
              </w:rPr>
            </w:pPr>
          </w:p>
        </w:tc>
        <w:tc>
          <w:tcPr>
            <w:tcW w:w="142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14</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45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7" w:right="339" w:bottom="144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4"/>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Total (MBOE)</w:t>
            </w: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5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Diamondback</w:t>
            </w:r>
          </w:p>
        </w:tc>
        <w:tc>
          <w:tcPr>
            <w:tcW w:w="100" w:type="dxa"/>
            <w:vAlign w:val="bottom"/>
          </w:tcPr>
          <w:p>
            <w:pPr>
              <w:spacing w:after="0"/>
              <w:rPr>
                <w:sz w:val="16"/>
                <w:szCs w:val="16"/>
                <w:color w:val="auto"/>
              </w:rPr>
            </w:pPr>
          </w:p>
        </w:tc>
      </w:tr>
      <w:tr>
        <w:trPr>
          <w:trHeight w:val="216"/>
        </w:trPr>
        <w:tc>
          <w:tcPr>
            <w:tcW w:w="59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Diamondback</w:t>
            </w: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Endeavor</w:t>
            </w: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Reclass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Pro Forma</w:t>
            </w:r>
          </w:p>
        </w:tc>
      </w:tr>
      <w:tr>
        <w:trPr>
          <w:trHeight w:val="245"/>
        </w:trPr>
        <w:tc>
          <w:tcPr>
            <w:tcW w:w="5980" w:type="dxa"/>
            <w:vAlign w:val="bottom"/>
          </w:tcPr>
          <w:p>
            <w:pPr>
              <w:spacing w:after="0"/>
              <w:rPr>
                <w:sz w:val="21"/>
                <w:szCs w:val="21"/>
                <w:color w:val="auto"/>
              </w:rPr>
            </w:pP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Combined</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Proved Developed and Undeveloped Reserves:</w:t>
            </w: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2,032,971</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1,513,718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3,546,689</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Extensions and discoveries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355,874</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45,095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314,498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715,467</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Revisions of previous estimates</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(54,470)</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(207,332)</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(26,009)</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(287,811)</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reserves in place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70,481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8,350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78,831</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Divestitures</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(63,682)</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(64,904)</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Production</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(163,413)</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(123,258)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(286,671)</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PUD additions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314,498</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(314,498)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Economic effect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(26,009)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26,009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2,177,761</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1,523,840</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3,701,601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Proved Developed Reserves:</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1,403,553</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872,644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2,276,197</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1,496,530</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953,887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2,450,417</w:t>
            </w: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Proved Undeveloped Reserves:</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629,418</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641,074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1,270,492</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681,231</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569,953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1,251,184</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Standardized Measure of Discounted Future Net Cash Flows</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tables present the estimated pro forma discounted future net cash flows at December 31, 2023. The pro forma standardized measure information set forth below gives effect to the transactions as if the transactions had been completed on January 1, 2023. The calculations assume the continuation of existing economic, operating and contractual conditions at December 31, 2023.</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Discounted Future Net Cash Flows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standardized measure of discounted future net cash flows relating to proved oil and natural gas reserves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4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Diamondback</w:t>
            </w:r>
          </w:p>
        </w:tc>
        <w:tc>
          <w:tcPr>
            <w:tcW w:w="100" w:type="dxa"/>
            <w:vAlign w:val="bottom"/>
          </w:tcPr>
          <w:p>
            <w:pPr>
              <w:spacing w:after="0"/>
              <w:rPr>
                <w:sz w:val="16"/>
                <w:szCs w:val="16"/>
                <w:color w:val="auto"/>
              </w:rPr>
            </w:pPr>
          </w:p>
        </w:tc>
      </w:tr>
      <w:tr>
        <w:trPr>
          <w:trHeight w:val="216"/>
        </w:trPr>
        <w:tc>
          <w:tcPr>
            <w:tcW w:w="4620" w:type="dxa"/>
            <w:vAlign w:val="bottom"/>
          </w:tcPr>
          <w:p>
            <w:pPr>
              <w:spacing w:after="0"/>
              <w:rPr>
                <w:sz w:val="18"/>
                <w:szCs w:val="18"/>
                <w:color w:val="auto"/>
              </w:rPr>
            </w:pPr>
          </w:p>
        </w:tc>
        <w:tc>
          <w:tcPr>
            <w:tcW w:w="13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Diamondback</w:t>
            </w:r>
          </w:p>
        </w:tc>
        <w:tc>
          <w:tcPr>
            <w:tcW w:w="120" w:type="dxa"/>
            <w:vAlign w:val="bottom"/>
          </w:tcPr>
          <w:p>
            <w:pPr>
              <w:spacing w:after="0"/>
              <w:rPr>
                <w:sz w:val="18"/>
                <w:szCs w:val="18"/>
                <w:color w:val="auto"/>
              </w:rPr>
            </w:pPr>
          </w:p>
        </w:tc>
        <w:tc>
          <w:tcPr>
            <w:tcW w:w="11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Endeavor</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Reclass</w:t>
            </w:r>
          </w:p>
        </w:tc>
        <w:tc>
          <w:tcPr>
            <w:tcW w:w="12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Pro Forma</w:t>
            </w:r>
          </w:p>
        </w:tc>
        <w:tc>
          <w:tcPr>
            <w:tcW w:w="1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Pro Forma</w:t>
            </w:r>
          </w:p>
        </w:tc>
      </w:tr>
      <w:tr>
        <w:trPr>
          <w:trHeight w:val="245"/>
        </w:trPr>
        <w:tc>
          <w:tcPr>
            <w:tcW w:w="46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(Historical)</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7"/>
              </w:rPr>
              <w:t>(Historical)</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220" w:type="dxa"/>
            <w:vAlign w:val="bottom"/>
          </w:tcPr>
          <w:p>
            <w:pPr>
              <w:spacing w:after="0"/>
              <w:rPr>
                <w:sz w:val="21"/>
                <w:szCs w:val="21"/>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Combined</w:t>
            </w:r>
          </w:p>
        </w:tc>
        <w:tc>
          <w:tcPr>
            <w:tcW w:w="100" w:type="dxa"/>
            <w:vAlign w:val="bottom"/>
          </w:tcPr>
          <w:p>
            <w:pPr>
              <w:spacing w:after="0"/>
              <w:rPr>
                <w:sz w:val="21"/>
                <w:szCs w:val="21"/>
                <w:color w:val="auto"/>
              </w:rPr>
            </w:pP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Future cash inflows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106,418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62,484</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168,902</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Future development costs</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(6,400)</w:t>
            </w:r>
          </w:p>
        </w:tc>
        <w:tc>
          <w:tcPr>
            <w:tcW w:w="1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(10,725)</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Future production costs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(25,656)</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4,337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(41,388)</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Future production taxes</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(7,434)</w:t>
            </w:r>
          </w:p>
        </w:tc>
        <w:tc>
          <w:tcPr>
            <w:tcW w:w="120" w:type="dxa"/>
            <w:vAlign w:val="bottom"/>
          </w:tcPr>
          <w:p>
            <w:pPr>
              <w:spacing w:after="0"/>
              <w:rPr>
                <w:sz w:val="18"/>
                <w:szCs w:val="18"/>
                <w:color w:val="auto"/>
              </w:rPr>
            </w:pP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(4,337)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(11,771)</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Future income tax expenses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(11,067)</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(4,488)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(15,555)</w:t>
            </w:r>
          </w:p>
        </w:tc>
      </w:tr>
      <w:tr>
        <w:trPr>
          <w:trHeight w:val="27"/>
        </w:trPr>
        <w:tc>
          <w:tcPr>
            <w:tcW w:w="46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Future net cash flows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55,861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38,090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(4,488)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89,463</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 discount to reflect timing of cash flows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(28,803)</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(45,891)</w:t>
            </w:r>
          </w:p>
        </w:tc>
      </w:tr>
      <w:tr>
        <w:trPr>
          <w:trHeight w:val="27"/>
        </w:trPr>
        <w:tc>
          <w:tcPr>
            <w:tcW w:w="46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Standardized measure of discounted future net cash flows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27,058</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21,002</w:t>
            </w:r>
          </w:p>
        </w:tc>
        <w:tc>
          <w:tcPr>
            <w:tcW w:w="120" w:type="dxa"/>
            <w:vAlign w:val="bottom"/>
          </w:tcPr>
          <w:p>
            <w:pPr>
              <w:spacing w:after="0"/>
              <w:rPr>
                <w:sz w:val="18"/>
                <w:szCs w:val="18"/>
                <w:color w:val="auto"/>
              </w:rPr>
            </w:pP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(4,488)</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43,572</w:t>
            </w:r>
          </w:p>
        </w:tc>
      </w:tr>
      <w:tr>
        <w:trPr>
          <w:trHeight w:val="21"/>
        </w:trPr>
        <w:tc>
          <w:tcPr>
            <w:tcW w:w="4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Change in Discounted Future Net Cash Flows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principal changes in the pro forma standardized measure of discounted future net cash flows relating to proved reserves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4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Diamondback</w:t>
            </w:r>
          </w:p>
        </w:tc>
        <w:tc>
          <w:tcPr>
            <w:tcW w:w="100" w:type="dxa"/>
            <w:vAlign w:val="bottom"/>
          </w:tcPr>
          <w:p>
            <w:pPr>
              <w:spacing w:after="0"/>
              <w:rPr>
                <w:sz w:val="16"/>
                <w:szCs w:val="16"/>
                <w:color w:val="auto"/>
              </w:rPr>
            </w:pPr>
          </w:p>
        </w:tc>
      </w:tr>
      <w:tr>
        <w:trPr>
          <w:trHeight w:val="216"/>
        </w:trPr>
        <w:tc>
          <w:tcPr>
            <w:tcW w:w="4620" w:type="dxa"/>
            <w:vAlign w:val="bottom"/>
          </w:tcPr>
          <w:p>
            <w:pPr>
              <w:spacing w:after="0"/>
              <w:rPr>
                <w:sz w:val="18"/>
                <w:szCs w:val="18"/>
                <w:color w:val="auto"/>
              </w:rPr>
            </w:pPr>
          </w:p>
        </w:tc>
        <w:tc>
          <w:tcPr>
            <w:tcW w:w="13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Diamondback</w:t>
            </w:r>
          </w:p>
        </w:tc>
        <w:tc>
          <w:tcPr>
            <w:tcW w:w="120" w:type="dxa"/>
            <w:vAlign w:val="bottom"/>
          </w:tcPr>
          <w:p>
            <w:pPr>
              <w:spacing w:after="0"/>
              <w:rPr>
                <w:sz w:val="18"/>
                <w:szCs w:val="18"/>
                <w:color w:val="auto"/>
              </w:rPr>
            </w:pPr>
          </w:p>
        </w:tc>
        <w:tc>
          <w:tcPr>
            <w:tcW w:w="11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Endeavor</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Reclass</w:t>
            </w:r>
          </w:p>
        </w:tc>
        <w:tc>
          <w:tcPr>
            <w:tcW w:w="12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Pro Forma</w:t>
            </w:r>
          </w:p>
        </w:tc>
        <w:tc>
          <w:tcPr>
            <w:tcW w:w="1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Pro Forma</w:t>
            </w:r>
          </w:p>
        </w:tc>
      </w:tr>
      <w:tr>
        <w:trPr>
          <w:trHeight w:val="245"/>
        </w:trPr>
        <w:tc>
          <w:tcPr>
            <w:tcW w:w="46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99"/>
              </w:rPr>
              <w:t>(Historical)</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7"/>
              </w:rPr>
              <w:t>(Historical)</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220" w:type="dxa"/>
            <w:vAlign w:val="bottom"/>
          </w:tcPr>
          <w:p>
            <w:pPr>
              <w:spacing w:after="0"/>
              <w:rPr>
                <w:sz w:val="21"/>
                <w:szCs w:val="21"/>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Combined</w:t>
            </w:r>
          </w:p>
        </w:tc>
        <w:tc>
          <w:tcPr>
            <w:tcW w:w="100" w:type="dxa"/>
            <w:vAlign w:val="bottom"/>
          </w:tcPr>
          <w:p>
            <w:pPr>
              <w:spacing w:after="0"/>
              <w:rPr>
                <w:sz w:val="21"/>
                <w:szCs w:val="21"/>
                <w:color w:val="auto"/>
              </w:rPr>
            </w:pP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4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Standardized measure of discounted future net cash flows at</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the beginning of the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35,699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32,036</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67,735</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Sales of oil and natural gas, net of production costs</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(6,544)</w:t>
            </w:r>
          </w:p>
        </w:tc>
        <w:tc>
          <w:tcPr>
            <w:tcW w:w="1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(2,957)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(11,729)</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Acquisitions of reserves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1,854</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1,983</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Divestitures of reserves</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(938)</w:t>
            </w:r>
          </w:p>
        </w:tc>
        <w:tc>
          <w:tcPr>
            <w:tcW w:w="1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(960)</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Extensions and discoveries, net of future development costs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5,771</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3,931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10,636</w:t>
            </w:r>
          </w:p>
        </w:tc>
      </w:tr>
      <w:tr>
        <w:trPr>
          <w:trHeight w:val="198"/>
        </w:trPr>
        <w:tc>
          <w:tcPr>
            <w:tcW w:w="4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Previously estimated development costs incurred during the</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period</w:t>
            </w:r>
          </w:p>
        </w:tc>
        <w:tc>
          <w:tcPr>
            <w:tcW w:w="12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1,180</w:t>
            </w:r>
          </w:p>
        </w:tc>
        <w:tc>
          <w:tcPr>
            <w:tcW w:w="120" w:type="dxa"/>
            <w:vAlign w:val="bottom"/>
          </w:tcPr>
          <w:p>
            <w:pPr>
              <w:spacing w:after="0"/>
              <w:rPr>
                <w:sz w:val="20"/>
                <w:szCs w:val="20"/>
                <w:color w:val="auto"/>
              </w:rPr>
            </w:pP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2,384</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3,564</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changes in prices and production costs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(17,276)</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(10,069)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(27,345)</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Changes in estimated future development costs</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518</w:t>
            </w:r>
          </w:p>
        </w:tc>
        <w:tc>
          <w:tcPr>
            <w:tcW w:w="120" w:type="dxa"/>
            <w:vAlign w:val="bottom"/>
          </w:tcPr>
          <w:p>
            <w:pPr>
              <w:spacing w:after="0"/>
              <w:rPr>
                <w:sz w:val="18"/>
                <w:szCs w:val="18"/>
                <w:color w:val="auto"/>
              </w:rPr>
            </w:pP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657</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Revisions of previous quantity estimates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(1,268)</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(5,116)</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discount</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4,533</w:t>
            </w:r>
          </w:p>
        </w:tc>
        <w:tc>
          <w:tcPr>
            <w:tcW w:w="120" w:type="dxa"/>
            <w:vAlign w:val="bottom"/>
          </w:tcPr>
          <w:p>
            <w:pPr>
              <w:spacing w:after="0"/>
              <w:rPr>
                <w:sz w:val="18"/>
                <w:szCs w:val="18"/>
                <w:color w:val="auto"/>
              </w:rPr>
            </w:pP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3,204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7,737</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income taxes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2,506</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(4,488)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(1,982)</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changes in timing of production and other</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1,023</w:t>
            </w:r>
          </w:p>
        </w:tc>
        <w:tc>
          <w:tcPr>
            <w:tcW w:w="120" w:type="dxa"/>
            <w:vAlign w:val="bottom"/>
          </w:tcPr>
          <w:p>
            <w:pPr>
              <w:spacing w:after="0"/>
              <w:rPr>
                <w:sz w:val="18"/>
                <w:szCs w:val="18"/>
                <w:color w:val="auto"/>
              </w:rPr>
            </w:pP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(2,631)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(1,608)</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PUD additions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3,931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(3,931)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Economic effect</w:t>
            </w:r>
          </w:p>
        </w:tc>
        <w:tc>
          <w:tcPr>
            <w:tcW w:w="1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9,930</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4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Standardized measure of discounted future net cash flows at</w:t>
            </w: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5"/>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the end of the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27,058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21,002</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(4,488)</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43,572</w:t>
            </w:r>
          </w:p>
        </w:tc>
      </w:tr>
      <w:tr>
        <w:trPr>
          <w:trHeight w:val="591"/>
        </w:trPr>
        <w:tc>
          <w:tcPr>
            <w:tcW w:w="46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4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84"/>
        </w:trPr>
        <w:tc>
          <w:tcPr>
            <w:tcW w:w="46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1)"/>
      <w:numFmt w:val="lowerLetter"/>
      <w:start w:val="1"/>
    </w:lvl>
  </w:abstractNum>
  <w:abstractNum w:abstractNumId="3">
    <w:nsid w:val="6763845E"/>
    <w:multiLevelType w:val="hybridMultilevel"/>
    <w:lvl w:ilvl="0">
      <w:lvlJc w:val="left"/>
      <w:lvlText w:val="(%1)"/>
      <w:numFmt w:val="lowerLetter"/>
      <w:start w:val="2"/>
    </w:lvl>
  </w:abstractNum>
  <w:abstractNum w:abstractNumId="4">
    <w:nsid w:val="75A2A8D4"/>
    <w:multiLevelType w:val="hybridMultilevel"/>
    <w:lvl w:ilvl="0">
      <w:lvlJc w:val="left"/>
      <w:lvlText w:val="(%1)"/>
      <w:numFmt w:val="lowerLetter"/>
      <w:start w:val="4"/>
    </w:lvl>
  </w:abstractNum>
  <w:abstractNum w:abstractNumId="5">
    <w:nsid w:val="8EDBDAB"/>
    <w:multiLevelType w:val="hybridMultilevel"/>
    <w:lvl w:ilvl="0">
      <w:lvlJc w:val="left"/>
      <w:lvlText w:val="%1."/>
      <w:numFmt w:val="decimal"/>
      <w:start w:val="1"/>
    </w:lvl>
  </w:abstractNum>
  <w:abstractNum w:abstractNumId="6">
    <w:nsid w:val="79838CB2"/>
    <w:multiLevelType w:val="hybridMultilevel"/>
    <w:lvl w:ilvl="0">
      <w:lvlJc w:val="left"/>
      <w:lvlText w:val="%1."/>
      <w:numFmt w:val="decimal"/>
      <w:start w:val="2"/>
    </w:lvl>
  </w:abstractNum>
  <w:abstractNum w:abstractNumId="7">
    <w:nsid w:val="4353D0CD"/>
    <w:multiLevelType w:val="hybridMultilevel"/>
    <w:lvl w:ilvl="0">
      <w:lvlJc w:val="left"/>
      <w:lvlText w:val="%1."/>
      <w:numFmt w:val="decimal"/>
      <w:start w:val="4"/>
    </w:lvl>
  </w:abstractNum>
  <w:abstractNum w:abstractNumId="8">
    <w:nsid w:val="B03E0C6"/>
    <w:multiLevelType w:val="hybridMultilevel"/>
    <w:lvl w:ilvl="0">
      <w:lvlJc w:val="left"/>
      <w:lvlText w:val="%1."/>
      <w:numFmt w:val="decimal"/>
      <w:start w:val="5"/>
    </w:lvl>
  </w:abstractNum>
  <w:abstractNum w:abstractNumId="9">
    <w:nsid w:val="189A769B"/>
    <w:multiLevelType w:val="hybridMultilevel"/>
    <w:lvl w:ilvl="0">
      <w:lvlJc w:val="left"/>
      <w:lvlText w:val="%1."/>
      <w:numFmt w:val="decimal"/>
      <w:start w:val="6"/>
    </w:lvl>
  </w:abstractNum>
  <w:abstractNum w:abstractNumId="10">
    <w:nsid w:val="54E49EB4"/>
    <w:multiLevelType w:val="hybridMultilevel"/>
    <w:lvl w:ilvl="0">
      <w:lvlJc w:val="left"/>
      <w:lvlText w:val="%1."/>
      <w:numFmt w:val="decimal"/>
      <w:start w:val="7"/>
    </w:lvl>
  </w:abstractNum>
  <w:abstractNum w:abstractNumId="11">
    <w:nsid w:val="71F32454"/>
    <w:multiLevelType w:val="hybridMultilevel"/>
    <w:lvl w:ilvl="0">
      <w:lvlJc w:val="left"/>
      <w:lvlText w:val="%1."/>
      <w:numFmt w:val="decimal"/>
      <w:start w:val="8"/>
    </w:lvl>
  </w:abstractNum>
  <w:abstractNum w:abstractNumId="12">
    <w:nsid w:val="2CA88611"/>
    <w:multiLevelType w:val="hybridMultilevel"/>
    <w:lvl w:ilvl="0">
      <w:lvlJc w:val="left"/>
      <w:lvlText w:val="%1."/>
      <w:numFmt w:val="decimal"/>
      <w:start w:val="9"/>
    </w:lvl>
  </w:abstractNum>
  <w:abstractNum w:abstractNumId="13">
    <w:nsid w:val="836C40E"/>
    <w:multiLevelType w:val="hybridMultilevel"/>
    <w:lvl w:ilvl="0">
      <w:lvlJc w:val="left"/>
      <w:lvlText w:val="%1."/>
      <w:numFmt w:val="decimal"/>
      <w:start w:val="10"/>
    </w:lvl>
  </w:abstractNum>
  <w:abstractNum w:abstractNumId="14">
    <w:nsid w:val="2901D82"/>
    <w:multiLevelType w:val="hybridMultilevel"/>
    <w:lvl w:ilvl="0">
      <w:lvlJc w:val="left"/>
      <w:lvlText w:val="%1."/>
      <w:numFmt w:val="decimal"/>
      <w:start w:val="11"/>
    </w:lvl>
  </w:abstractNum>
  <w:abstractNum w:abstractNumId="15">
    <w:nsid w:val="3A95F874"/>
    <w:multiLevelType w:val="hybridMultilevel"/>
    <w:lvl w:ilvl="0">
      <w:lvlJc w:val="left"/>
      <w:lvlText w:val="%1."/>
      <w:numFmt w:val="decimal"/>
      <w:start w:val="12"/>
    </w:lvl>
  </w:abstractNum>
  <w:abstractNum w:abstractNumId="16">
    <w:nsid w:val="8138641"/>
    <w:multiLevelType w:val="hybridMultilevel"/>
    <w:lvl w:ilvl="0">
      <w:lvlJc w:val="left"/>
      <w:lvlText w:val="%1."/>
      <w:numFmt w:val="decimal"/>
      <w:start w:val="13"/>
    </w:lvl>
  </w:abstractNum>
  <w:abstractNum w:abstractNumId="17">
    <w:nsid w:val="1E7FF521"/>
    <w:multiLevelType w:val="hybridMultilevel"/>
    <w:lvl w:ilvl="0">
      <w:lvlJc w:val="left"/>
      <w:lvlText w:val="%1."/>
      <w:numFmt w:val="decimal"/>
      <w:start w:val="14"/>
    </w:lvl>
  </w:abstractNum>
  <w:abstractNum w:abstractNumId="18">
    <w:nsid w:val="7C3DBD3D"/>
    <w:multiLevelType w:val="hybridMultilevel"/>
    <w:lvl w:ilvl="0">
      <w:lvlJc w:val="left"/>
      <w:lvlText w:val="%1."/>
      <w:numFmt w:val="decimal"/>
      <w:start w:val="16"/>
    </w:lvl>
  </w:abstractNum>
  <w:abstractNum w:abstractNumId="19">
    <w:nsid w:val="737B8DDC"/>
    <w:multiLevelType w:val="hybridMultilevel"/>
    <w:lvl w:ilvl="0">
      <w:lvlJc w:val="left"/>
      <w:lvlText w:val="(%1)"/>
      <w:numFmt w:val="lowerLetter"/>
      <w:start w:val="1"/>
    </w:lvl>
  </w:abstractNum>
  <w:abstractNum w:abstractNumId="20">
    <w:nsid w:val="6CEAF087"/>
    <w:multiLevelType w:val="hybridMultilevel"/>
    <w:lvl w:ilvl="0">
      <w:lvlJc w:val="left"/>
      <w:lvlText w:val="(%1)"/>
      <w:numFmt w:val="lowerRoman"/>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1)"/>
      <w:numFmt w:val="decimal"/>
      <w:start w:val="1"/>
    </w:lvl>
  </w:abstractNum>
  <w:abstractNum w:abstractNumId="24">
    <w:nsid w:val="614FD4A1"/>
    <w:multiLevelType w:val="hybridMultilevel"/>
    <w:lvl w:ilvl="0">
      <w:lvlJc w:val="left"/>
      <w:lvlText w:val="(%1)"/>
      <w:numFmt w:val="decimal"/>
      <w:start w:val="1"/>
    </w:lvl>
  </w:abstractNum>
  <w:abstractNum w:abstractNumId="25">
    <w:nsid w:val="419AC241"/>
    <w:multiLevelType w:val="hybridMultilevel"/>
    <w:lvl w:ilvl="0">
      <w:lvlJc w:val="left"/>
      <w:lvlText w:val="%1."/>
      <w:numFmt w:val="decimal"/>
      <w:start w:val="1"/>
    </w:lvl>
  </w:abstractNum>
  <w:abstractNum w:abstractNumId="26">
    <w:nsid w:val="5577F8E1"/>
    <w:multiLevelType w:val="hybridMultilevel"/>
    <w:lvl w:ilvl="0">
      <w:lvlJc w:val="left"/>
      <w:lvlText w:val="%1."/>
      <w:numFmt w:val="decimal"/>
      <w:start w:val="2"/>
    </w:lvl>
  </w:abstractNum>
  <w:abstractNum w:abstractNumId="27">
    <w:nsid w:val="440BADFC"/>
    <w:multiLevelType w:val="hybridMultilevel"/>
    <w:lvl w:ilvl="0">
      <w:lvlJc w:val="left"/>
      <w:lvlText w:val="(%1)"/>
      <w:numFmt w:val="decimal"/>
      <w:start w:val="1"/>
    </w:lvl>
  </w:abstractNum>
  <w:abstractNum w:abstractNumId="28">
    <w:nsid w:val="5072367"/>
    <w:multiLevelType w:val="hybridMultilevel"/>
    <w:lvl w:ilvl="0">
      <w:lvlJc w:val="left"/>
      <w:lvlText w:val="%1."/>
      <w:numFmt w:val="decimal"/>
      <w:start w:val="3"/>
    </w:lvl>
  </w:abstractNum>
  <w:abstractNum w:abstractNumId="29">
    <w:nsid w:val="3804823E"/>
    <w:multiLevelType w:val="hybridMultilevel"/>
    <w:lvl w:ilvl="0">
      <w:lvlJc w:val="left"/>
      <w:lvlText w:val="(%1)"/>
      <w:numFmt w:val="lowerLetter"/>
      <w:start w:val="1"/>
    </w:lvl>
    <w:lvl w:ilvl="1">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1)"/>
      <w:numFmt w:val="lowerLetter"/>
      <w:start w:val="1"/>
    </w:lvl>
    <w:lvl w:ilvl="1">
      <w:lvlJc w:val="left"/>
      <w:lvlText w:val="•"/>
      <w:numFmt w:val="bullet"/>
      <w:start w:val="1"/>
    </w:lvl>
  </w:abstractNum>
  <w:abstractNum w:abstractNumId="33">
    <w:nsid w:val="2463B9EA"/>
    <w:multiLevelType w:val="hybridMultilevel"/>
    <w:lvl w:ilvl="0">
      <w:lvlJc w:val="left"/>
      <w:lvlText w:val="(%1)"/>
      <w:numFmt w:val="lowerLetter"/>
      <w:start w:val="3"/>
    </w:lvl>
    <w:lvl w:ilvl="1">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1)"/>
      <w:numFmt w:val="lowerLetter"/>
      <w:start w:val="4"/>
    </w:lvl>
    <w:lvl w:ilvl="1">
      <w:lvlJc w:val="left"/>
      <w:lvlText w:val="•"/>
      <w:numFmt w:val="bullet"/>
      <w:start w:val="1"/>
    </w:lvl>
  </w:abstractNum>
  <w:abstractNum w:abstractNumId="36">
    <w:nsid w:val="2D517796"/>
    <w:multiLevelType w:val="hybridMultilevel"/>
    <w:lvl w:ilvl="0">
      <w:lvlJc w:val="left"/>
      <w:lvlText w:val="(%1)"/>
      <w:numFmt w:val="lowerLetter"/>
      <w:start w:val="5"/>
    </w:lvl>
    <w:lvl w:ilvl="1">
      <w:lvlJc w:val="left"/>
      <w:lvlText w:val="•"/>
      <w:numFmt w:val="bullet"/>
      <w:start w:val="1"/>
    </w:lvl>
  </w:abstractNum>
  <w:abstractNum w:abstractNumId="37">
    <w:nsid w:val="580BD78F"/>
    <w:multiLevelType w:val="hybridMultilevel"/>
    <w:lvl w:ilvl="0">
      <w:lvlJc w:val="left"/>
      <w:lvlText w:val="(%1)"/>
      <w:numFmt w:val="lowerLetter"/>
      <w:start w:val="9"/>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1)"/>
      <w:numFmt w:val="lowerLetter"/>
      <w:start w:val="11"/>
    </w:lvl>
  </w:abstractNum>
  <w:abstractNum w:abstractNumId="40">
    <w:nsid w:val="70A64E2A"/>
    <w:multiLevelType w:val="hybridMultilevel"/>
    <w:lvl w:ilvl="0">
      <w:lvlJc w:val="left"/>
      <w:lvlText w:val="(%1)"/>
      <w:numFmt w:val="lowerLetter"/>
      <w:start w:val="12"/>
    </w:lvl>
  </w:abstractNum>
  <w:abstractNum w:abstractNumId="41">
    <w:nsid w:val="6A2342EC"/>
    <w:multiLevelType w:val="hybridMultilevel"/>
    <w:lvl w:ilvl="0">
      <w:lvlJc w:val="left"/>
      <w:lvlText w:val="(%1)"/>
      <w:numFmt w:val="lowerLetter"/>
      <w:start w:val="13"/>
    </w:lvl>
  </w:abstractNum>
  <w:abstractNum w:abstractNumId="42">
    <w:nsid w:val="2A487CB0"/>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2024-09-19T15:40:32Z</dcterms:created>
  <dcterms:modified xsi:type="dcterms:W3CDTF">2024-09-19T15:40:32Z</dcterms:modified>
</cp:coreProperties>
</file>