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val="false"/>
          <w:color w:val="808080"/>
          <w:sz w:val="24"/>
        </w:rPr>
      </w:pPr>
      <w:r>
        <w:rPr>
          <w:rFonts w:ascii="Times New Roman;serif" w:hAnsi="Times New Roman;serif"/>
          <w:b w:val="false"/>
          <w:color w:val="808080"/>
          <w:sz w:val="24"/>
        </w:rPr>
        <w:t>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color w:val="000000"/>
          <w:sz w:val="18"/>
        </w:rPr>
        <w:t>October 8, 2026</w:t>
      </w:r>
      <w:r>
        <w:rPr>
          <w:color w:val="000000"/>
        </w:rPr>
        <w:t xml:space="preserve"> </w:t>
      </w:r>
    </w:p>
    <w:p>
      <w:pPr>
        <w:pStyle w:val="TextBody"/>
        <w:bidi w:val="0"/>
        <w:spacing w:lineRule="auto" w:line="288" w:before="0" w:after="0"/>
        <w:jc w:val="center"/>
        <w:rPr>
          <w:rFonts w:ascii="Times New Roman;serif" w:hAnsi="Times New Roman;serif"/>
          <w:b w:val="false"/>
          <w:color w:val="808080"/>
          <w:sz w:val="18"/>
        </w:rPr>
      </w:pPr>
      <w:r>
        <w:rPr>
          <w:rFonts w:ascii="Times New Roman;serif" w:hAnsi="Times New Roman;serif"/>
          <w:b w:val="false"/>
          <w:color w:val="808080"/>
          <w:sz w:val="18"/>
        </w:rPr>
        <w:t>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DIAMONDBACK ENERGY, INC. </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69" w:type="dxa"/>
        <w:jc w:val="center"/>
        <w:tblInd w:w="0" w:type="dxa"/>
        <w:tblLayout w:type="fixed"/>
        <w:tblCellMar>
          <w:top w:w="28" w:type="dxa"/>
          <w:left w:w="28" w:type="dxa"/>
          <w:bottom w:w="28" w:type="dxa"/>
          <w:right w:w="28" w:type="dxa"/>
        </w:tblCellMar>
      </w:tblPr>
      <w:tblGrid>
        <w:gridCol w:w="587"/>
        <w:gridCol w:w="516"/>
        <w:gridCol w:w="516"/>
        <w:gridCol w:w="516"/>
        <w:gridCol w:w="516"/>
        <w:gridCol w:w="528"/>
        <w:gridCol w:w="332"/>
        <w:gridCol w:w="332"/>
        <w:gridCol w:w="332"/>
        <w:gridCol w:w="332"/>
        <w:gridCol w:w="332"/>
        <w:gridCol w:w="334"/>
        <w:gridCol w:w="871"/>
        <w:gridCol w:w="871"/>
        <w:gridCol w:w="882"/>
        <w:gridCol w:w="109"/>
        <w:gridCol w:w="109"/>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DE</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001-35700</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45-4502447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500 West Texas Ave.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Suite 100</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Midland, TX</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79701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(Address of principal </w:t>
              <w:br/>
              <w:t>executive offices)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(432) 221-7400 </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before="0" w:after="0"/>
        <w:jc w:val="center"/>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Soliciting material pursuant to Rule 14a-12 under the Exchange Act (17 CFR 240.14a-12)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 xml:space="preserve">☐ </w:t>
      </w:r>
      <w:r>
        <w:rPr>
          <w:rFonts w:ascii="Times New Roman;serif" w:hAnsi="Times New Roman;serif"/>
          <w:b w:val="false"/>
          <w:color w:val="231F20"/>
          <w:sz w:val="16"/>
        </w:rPr>
        <w:t xml:space="preserve">Pre-commencement communications pursuant to Rule 14d-2(b) under the Exchange Act (17 CFR 240.14d-2(b))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color w:val="000000"/>
        </w:rPr>
        <w:t>☐</w:t>
      </w:r>
      <w:r>
        <w:rPr>
          <w:color w:val="231F20"/>
        </w:rPr>
        <w:t xml:space="preserve"> </w:t>
      </w:r>
      <w:r>
        <w:rPr>
          <w:rFonts w:ascii="Times New Roman;serif" w:hAnsi="Times New Roman;serif"/>
          <w:b w:val="false"/>
          <w:color w:val="231F20"/>
          <w:sz w:val="16"/>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Securities Exchange Act of 1934:</w:t>
      </w:r>
    </w:p>
    <w:tbl>
      <w:tblPr>
        <w:tblW w:w="7827" w:type="dxa"/>
        <w:jc w:val="center"/>
        <w:tblInd w:w="0" w:type="dxa"/>
        <w:tblLayout w:type="fixed"/>
        <w:tblCellMar>
          <w:top w:w="28" w:type="dxa"/>
          <w:left w:w="28" w:type="dxa"/>
          <w:bottom w:w="28" w:type="dxa"/>
          <w:right w:w="28" w:type="dxa"/>
        </w:tblCellMar>
      </w:tblPr>
      <w:tblGrid>
        <w:gridCol w:w="1106"/>
        <w:gridCol w:w="970"/>
        <w:gridCol w:w="983"/>
        <w:gridCol w:w="484"/>
        <w:gridCol w:w="484"/>
        <w:gridCol w:w="48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FANG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Energy, Inc. (“Diamondback”) presents in this Item 2.02 certain information for the quarter ended September 30, 2026 regarding its realized prices, derivative activity and weighted average basic and diluted shares outstanding.</w:t>
      </w:r>
    </w:p>
    <w:p>
      <w:pPr>
        <w:pStyle w:val="TextBody"/>
        <w:bidi w:val="0"/>
        <w:spacing w:before="0" w:after="0"/>
        <w:ind w:left="0" w:right="0" w:firstLine="72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Realized Prices</w:t>
      </w:r>
    </w:p>
    <w:p>
      <w:pPr>
        <w:pStyle w:val="TextBody"/>
        <w:bidi w:val="0"/>
        <w:spacing w:before="0" w:after="0"/>
        <w:jc w:val="left"/>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quarter 2026 average unhedged realized prices were $87.30 per barrel of oil, $1.12 per Mcf of natural gas and $20.02 per barrel of natural gas liquids (“NGLs”).</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Third quarter 2026 average realized hedged prices were $85.89 per barrel of oil, $0.90 per Mcf of natural gas and $20.02 per barrel of NGLs.</w:t>
      </w:r>
    </w:p>
    <w:p>
      <w:pPr>
        <w:pStyle w:val="TextBody"/>
        <w:bidi w:val="0"/>
        <w:spacing w:before="0" w:after="0"/>
        <w:jc w:val="left"/>
        <w:rPr/>
      </w:pPr>
      <w:r>
        <w:rPr/>
      </w:r>
    </w:p>
    <w:tbl>
      <w:tblPr>
        <w:tblW w:w="5273" w:type="dxa"/>
        <w:jc w:val="left"/>
        <w:tblInd w:w="0" w:type="dxa"/>
        <w:tblLayout w:type="fixed"/>
        <w:tblCellMar>
          <w:top w:w="28" w:type="dxa"/>
          <w:left w:w="28" w:type="dxa"/>
          <w:bottom w:w="28" w:type="dxa"/>
          <w:right w:w="28" w:type="dxa"/>
        </w:tblCellMar>
      </w:tblPr>
      <w:tblGrid>
        <w:gridCol w:w="1237"/>
        <w:gridCol w:w="1090"/>
        <w:gridCol w:w="1093"/>
        <w:gridCol w:w="211"/>
        <w:gridCol w:w="616"/>
        <w:gridCol w:w="109"/>
        <w:gridCol w:w="109"/>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Prices: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Oil, hedged ($ per Bbl)</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hedged ($ per Mcf)</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Natural gas liquids, hedged ($ per Bbl)</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Derivative Activity</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third quarter of 2026, Diamondback anticipates a net loss on cash settlements for derivative instruments of $97 million and a net non-cash loss on derivative instruments of $85 million as detailed in the table below (in millions): </w:t>
      </w:r>
    </w:p>
    <w:p>
      <w:pPr>
        <w:pStyle w:val="TextBody"/>
        <w:bidi w:val="0"/>
        <w:spacing w:before="0" w:after="0"/>
        <w:jc w:val="both"/>
        <w:rPr/>
      </w:pPr>
      <w:r>
        <w:rPr/>
      </w:r>
    </w:p>
    <w:tbl>
      <w:tblPr>
        <w:tblW w:w="4415" w:type="dxa"/>
        <w:jc w:val="left"/>
        <w:tblInd w:w="0" w:type="dxa"/>
        <w:tblLayout w:type="fixed"/>
        <w:tblCellMar>
          <w:top w:w="28" w:type="dxa"/>
          <w:left w:w="28" w:type="dxa"/>
          <w:bottom w:w="28" w:type="dxa"/>
          <w:right w:w="28" w:type="dxa"/>
        </w:tblCellMar>
      </w:tblPr>
      <w:tblGrid>
        <w:gridCol w:w="1270"/>
        <w:gridCol w:w="1118"/>
        <w:gridCol w:w="1121"/>
        <w:gridCol w:w="211"/>
        <w:gridCol w:w="54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received (paid) on settlements: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jc w:val="both"/>
        <w:rPr>
          <w:rFonts w:ascii="Times New Roman;serif" w:hAnsi="Times New Roman;serif"/>
          <w:b/>
          <w:color w:val="000000"/>
          <w:sz w:val="20"/>
        </w:rPr>
      </w:pPr>
      <w:r>
        <w:rPr>
          <w:rFonts w:ascii="Times New Roman;serif" w:hAnsi="Times New Roman;serif"/>
          <w:b/>
          <w:color w:val="000000"/>
          <w:sz w:val="20"/>
        </w:rPr>
        <w:t xml:space="preserve">Weighted Average Basic and Diluted Shares Outstanding </w:t>
      </w:r>
    </w:p>
    <w:p>
      <w:pPr>
        <w:pStyle w:val="TextBody"/>
        <w:bidi w:val="0"/>
        <w:spacing w:before="0" w:after="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third quarter of 2026, basic and diluted weighted average shares outstanding are as follows (in thousands):</w:t>
      </w:r>
    </w:p>
    <w:p>
      <w:pPr>
        <w:pStyle w:val="TextBody"/>
        <w:bidi w:val="0"/>
        <w:spacing w:before="0" w:after="0"/>
        <w:jc w:val="both"/>
        <w:rPr/>
      </w:pPr>
      <w:r>
        <w:rPr/>
      </w:r>
    </w:p>
    <w:tbl>
      <w:tblPr>
        <w:tblW w:w="4745" w:type="dxa"/>
        <w:jc w:val="left"/>
        <w:tblInd w:w="0" w:type="dxa"/>
        <w:tblLayout w:type="fixed"/>
        <w:tblCellMar>
          <w:top w:w="28" w:type="dxa"/>
          <w:left w:w="28" w:type="dxa"/>
          <w:bottom w:w="28" w:type="dxa"/>
          <w:right w:w="28" w:type="dxa"/>
        </w:tblCellMar>
      </w:tblPr>
      <w:tblGrid>
        <w:gridCol w:w="1364"/>
        <w:gridCol w:w="1199"/>
        <w:gridCol w:w="1202"/>
        <w:gridCol w:w="413"/>
        <w:gridCol w:w="413"/>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recently completed drop down of certain mineral and royalty interests by Diamondback and related subsidiaries to Diamondback's subsidiary, Viper Energy, Inc. ("Viper"), the Sitio acquisition completed by Viper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markets; regional supply and demand factors, including delays, curtailments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those risks described in Item 1A of Diamondback’s Annual Report on Form 10-K, filed with the SEC on February 25, 2026, and those risks disclosed in its subsequent filings on Forms 10-K, 10-Q and 8-K, which can be obtained free of charge on the SEC’s website at http://www.sec.gov and Diamondback’s website at www.diamondbackenergy.com/investors.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3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66"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109"/>
        <w:gridCol w:w="109"/>
        <w:gridCol w:w="109"/>
        <w:gridCol w:w="450"/>
        <w:gridCol w:w="450"/>
        <w:gridCol w:w="450"/>
        <w:gridCol w:w="1554"/>
        <w:gridCol w:w="1554"/>
        <w:gridCol w:w="221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of Accounting and Assistant Secretary</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1320</Words>
  <Characters>7764</Characters>
  <CharactersWithSpaces>9009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