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SGF FANG Holdings,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8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Diamondback Energy,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FANG</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KEVIN T. KEEN</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8111 DOUGLAS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1200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75225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101,686,727</w:t>
            </w:r>
            <w:r>
              <w:rPr>
                <w:rFonts w:ascii="Times New Roman" w:cs="Times New Roman" w:eastAsia="Times New Roman" w:hAnsi="Times New Roman"/>
                <w:sz w:val="25"/>
                <w:szCs w:val="25"/>
                <w:color w:val="008000"/>
                <w:vertAlign w:val="superscript"/>
              </w:rPr>
              <w:t>(1)</w:t>
            </w:r>
          </w:p>
        </w:tc>
        <w:tc>
          <w:tcPr>
            <w:tcW w:w="9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 connection with an internal reorganization among entities controlled by Lyndal Stephens Greth ("Mrs. Stephens Greth") that streamlined Mrs. Stephens Greth's share ownership structure, SGF FANG Holdings, LP became the record holder of 101,686,727 shares of Common Stock, par value $0.01 per share (the "Company Common Stock"), of Diamondback Energy, Inc., a Delaware corporation, on August 13, 2025 (the "Reorganization") as reported on the Schedule 13D/A filed with the Securities and Exchange Commission by Mrs. Stephens Greth and certain other entities she controls on August 15, 2025. Mrs. Stephens Greth was, and following the Reorganization continues to be, the ultimate beneficial owner of the Company Common Stock held of record by SGF FANG Holdings, LP. Mrs. Stephens Greth disclaims beneficial ownership over any of the shares reported on this Form 3 except to the extent of her pecuniary interest therein.</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Kevin T. Keen,</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 in 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80063" TargetMode="External"/><Relationship Id="rId11" Type="http://schemas.openxmlformats.org/officeDocument/2006/relationships/hyperlink" Target="http://www.sec.gov/cgi-bin/browse-edgar?action=getcompany&amp;CIK=0001539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2025-08-15T19:13:45Z</dcterms:created>
  <dcterms:modified xsi:type="dcterms:W3CDTF">2025-08-15T19:13:45Z</dcterms:modified>
</cp:coreProperties>
</file>