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DIAMONDBACK ENERGY,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DE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001-35700</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45-4502447</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3">
            <w:col w:w="3920" w:space="720"/>
            <w:col w:w="3260" w:space="720"/>
            <w:col w:w="2620"/>
          </w:cols>
          <w:pgMar w:left="320" w:top="772" w:right="339" w:bottom="1440" w:gutter="0" w:footer="0" w:header="0"/>
          <w:type w:val="continuous"/>
        </w:sectPr>
      </w:pPr>
    </w:p>
    <w:p>
      <w:pPr>
        <w:spacing w:after="0" w:line="30"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500 West Texas</w:t>
      </w:r>
    </w:p>
    <w:p>
      <w:pPr>
        <w:spacing w:after="0" w:line="3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Suite 100</w:t>
      </w:r>
    </w:p>
    <w:p>
      <w:pPr>
        <w:spacing w:after="0" w:line="9"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Midland, TX</w:t>
      </w:r>
    </w:p>
    <w:p>
      <w:pPr>
        <w:spacing w:after="0" w:line="9"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color w:val="auto"/>
        </w:rPr>
        <w:t>(Address of principal</w:t>
      </w:r>
    </w:p>
    <w:p>
      <w:pPr>
        <w:spacing w:after="0" w:line="21"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color w:val="auto"/>
        </w:rPr>
        <w:t>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79701</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color w:val="auto"/>
        </w:rPr>
        <w:t>(Zip code)</w:t>
      </w:r>
    </w:p>
    <w:p>
      <w:pPr>
        <w:spacing w:after="0" w:line="415" w:lineRule="exact"/>
        <w:rPr>
          <w:sz w:val="24"/>
          <w:szCs w:val="24"/>
          <w:color w:val="auto"/>
        </w:rPr>
      </w:pPr>
    </w:p>
    <w:p>
      <w:pPr>
        <w:sectPr>
          <w:pgSz w:w="11900" w:h="16838" w:orient="portrait"/>
          <w:cols w:equalWidth="0" w:num="2">
            <w:col w:w="7400" w:space="720"/>
            <w:col w:w="312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(432) 221-7400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72" w:right="339" w:bottom="1440" w:gutter="0" w:footer="0" w:header="0"/>
          <w:type w:val="continuous"/>
        </w:sect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6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6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sz w:val="24"/>
          <w:szCs w:val="24"/>
          <w:color w:val="auto"/>
        </w:rPr>
      </w:pPr>
    </w:p>
    <w:p>
      <w:pPr>
        <w:ind w:left="66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21" w:lineRule="exact"/>
        <w:rPr>
          <w:sz w:val="24"/>
          <w:szCs w:val="24"/>
          <w:color w:val="auto"/>
        </w:rPr>
      </w:pPr>
    </w:p>
    <w:tbl>
      <w:tblPr>
        <w:tblLayout w:type="fixed"/>
        <w:tblInd w:w="1720" w:type="dxa"/>
        <w:tblCellMar>
          <w:top w:w="0" w:type="dxa"/>
          <w:left w:w="0" w:type="dxa"/>
          <w:bottom w:w="0" w:type="dxa"/>
          <w:right w:w="0" w:type="dxa"/>
        </w:tblCellMar>
      </w:tblPr>
      <w:tr>
        <w:trPr>
          <w:trHeight w:val="233"/>
        </w:trPr>
        <w:tc>
          <w:tcPr>
            <w:tcW w:w="200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20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Common Stock</w:t>
            </w:r>
          </w:p>
        </w:tc>
        <w:tc>
          <w:tcPr>
            <w:tcW w:w="25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3"/>
              </w:rPr>
              <w:t>FANG</w:t>
            </w:r>
          </w:p>
        </w:tc>
        <w:tc>
          <w:tcPr>
            <w:tcW w:w="37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20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7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13, 2022, Diamondback Energy, Inc. (the “Company”) completed its previously announced underwritten public offering (the “New Notes Offering”) of $650,000,000 aggregate principal amount of the Company’s 6.250% Notes due 2053 (the “New Notes”).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New Notes have been registered under the Securities Act of 1933, as amended (the “Act”), pursuant to a registration statement on Form S-3 (No. 333-268495), filed with the Securities and Exchange Commission (the “SEC”) and automatically effective on November 21, 2022 (the “Shelf Registration Statement”). The terms of the New Notes are further described in the Company’s prospectus supplement dated November 29, 2022, as filed with the SEC under Rule 424(b)(2) of the Act on December 1, 2022.</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13, 2022, the New Notes were issued pursuant to the Indenture (the “Base Indenture”), dated as of December 13, 2022, between the Company and Computershare Trust Company, National Association (the “Trustee”), as trustee, as supplemented by the First Supplemental Indenture, dated as of December 13, 2022 (the “First Supplemental Indenture” and, together with the Base Indenture, the “Indenture”), among the Company, Diamondback E&amp;P LLC (the “Guarantor”), as guarantor, and the Trustee, setting forth specific terms applicable to the New Notes.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New Notes are the Company’s general unsecured senior obligations and rank equally in right of payment with all of the Company’s existing and future senior indebtedness, including the Company’s outstanding senior notes and the Company’s guarantee of the obligations of the Guarantor under its revolving credit facility, and senior in right of payment to all of the Company’s future indebtedness that is subordinated in right of payment to the New Notes. The New Notes are effectively subordinated to the Company’s and the Guarantor’s existing and future secured indebtedness, if any, to the extent of the value of the collateral securing such indebtedness, and are structurally subordinated to all of the existing and future indebtedness and other liabilities (including trade payables) of each of the Company’s subsidiaries that is not a guarantor of the New Notes. The obligations under the New Notes are fully and unconditionally guaranteed on a senior unsecured basis by the Guarantor, except that in the future the guarantee may be released or terminated under certain circumstances as described in the Indenture.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redeem the New Notes in whole or in part at any time prior to September 15, 2052 (the “par call date”), at the redemption price calculated in the manner set forth in the Indenture. If the New Notes are redeemed on or after the par call date, the New Notes will be redeemed at a redemption price equal to 100% of the principal amount of the New Notes to be redeemed plus accrued and unpaid interest thereon to but not including the redemption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contains customary terms and covenants, including limitations on the Company’s ability and the ability of certain of its subsidiaries to incur liens securing funded indebtedness and on the Company’s ability to consolidate or merge with or into, or sell, convey, transfer or lease all or substantially all of its properties and assets on a consolidated basis to, any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Indenture does not purport to be complete and is qualified in its entirety by reference to the full text of the Base Indenture and the Supplemental Indenture, which are set forth as Exhibit 4.1 and 4.2, respectively, hereto and are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above with respect to the New Notes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 Opinion Relating to the New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closing of the New Notes Offering, the Company is filing a legal opinion of Akin Gump Strauss Hauer &amp; Feld LLP regarding the legality of the New Notes issued in the New Notes Offering, attached as Exhibit 5.1 to this Current Report on Form 8-K, to incorporate such opinion by reference into the Shelf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8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00" w:type="dxa"/>
            <w:vAlign w:val="bottom"/>
            <w:tcBorders>
              <w:top w:val="single" w:sz="8" w:color="auto"/>
              <w:right w:val="single" w:sz="8" w:color="CCEEFF"/>
            </w:tcBorders>
            <w:gridSpan w:val="2"/>
            <w:shd w:val="clear" w:color="auto" w:fill="CCEEFF"/>
          </w:tcPr>
          <w:p>
            <w:pPr>
              <w:jc w:val="center"/>
              <w:ind w:left="410"/>
              <w:spacing w:after="0" w:line="16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4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9620" w:type="dxa"/>
            <w:vAlign w:val="bottom"/>
            <w:tcBorders>
              <w:top w:val="single" w:sz="8" w:color="auto"/>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Indenture, dated as of December 13, 2022, between Diamondback Energy, Inc. and Computershare Trust Company, National</w:t>
            </w:r>
          </w:p>
        </w:tc>
      </w:tr>
      <w:tr>
        <w:trPr>
          <w:trHeight w:val="217"/>
        </w:trPr>
        <w:tc>
          <w:tcPr>
            <w:tcW w:w="5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Association, as trustee.</w:t>
            </w:r>
          </w:p>
        </w:tc>
        <w:tc>
          <w:tcPr>
            <w:tcW w:w="7960" w:type="dxa"/>
            <w:vAlign w:val="bottom"/>
            <w:tcBorders>
              <w:top w:val="single" w:sz="8" w:color="0000EE"/>
              <w:bottom w:val="single" w:sz="8" w:color="CCEEFF"/>
            </w:tcBorders>
            <w:gridSpan w:val="4"/>
            <w:shd w:val="clear" w:color="auto" w:fill="CCEEFF"/>
          </w:tcPr>
          <w:p>
            <w:pPr>
              <w:spacing w:after="0"/>
              <w:rPr>
                <w:sz w:val="18"/>
                <w:szCs w:val="18"/>
                <w:color w:val="auto"/>
              </w:rPr>
            </w:pPr>
          </w:p>
        </w:tc>
      </w:tr>
      <w:tr>
        <w:trPr>
          <w:trHeight w:val="175"/>
        </w:trPr>
        <w:tc>
          <w:tcPr>
            <w:tcW w:w="900" w:type="dxa"/>
            <w:vAlign w:val="bottom"/>
            <w:gridSpan w:val="2"/>
          </w:tcPr>
          <w:p>
            <w:pPr>
              <w:jc w:val="center"/>
              <w:ind w:left="410"/>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First Supplemental Indenture, dated as of December 13, 2022, among Diamondback Energy, Inc., Diamondback E&amp;P LLC and</w:t>
            </w:r>
          </w:p>
        </w:tc>
      </w:tr>
      <w:tr>
        <w:trPr>
          <w:trHeight w:val="196"/>
        </w:trPr>
        <w:tc>
          <w:tcPr>
            <w:tcW w:w="54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Computershare Trust Company, National Association, as trustee (including the form of the New Notes).</w:t>
            </w:r>
          </w:p>
        </w:tc>
      </w:tr>
      <w:tr>
        <w:trPr>
          <w:trHeight w:val="21"/>
        </w:trPr>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right w:val="single" w:sz="8" w:color="CCEEFF"/>
            </w:tcBorders>
            <w:shd w:val="clear" w:color="auto" w:fill="CCEEFF"/>
          </w:tcPr>
          <w:p>
            <w:pPr>
              <w:spacing w:after="0"/>
              <w:rPr>
                <w:sz w:val="17"/>
                <w:szCs w:val="17"/>
                <w:color w:val="auto"/>
              </w:rPr>
            </w:pPr>
          </w:p>
        </w:tc>
        <w:tc>
          <w:tcPr>
            <w:tcW w:w="360" w:type="dxa"/>
            <w:vAlign w:val="bottom"/>
            <w:tcBorders>
              <w:bottom w:val="single" w:sz="8" w:color="0000EE"/>
              <w:right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6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Opinion of Akin Gump Strauss Hauer &amp; Feld LLP.</w:t>
            </w:r>
          </w:p>
        </w:tc>
        <w:tc>
          <w:tcPr>
            <w:tcW w:w="5940" w:type="dxa"/>
            <w:vAlign w:val="bottom"/>
            <w:tcBorders>
              <w:bottom w:val="single" w:sz="8" w:color="CCEEFF"/>
            </w:tcBorders>
            <w:gridSpan w:val="3"/>
            <w:shd w:val="clear" w:color="auto" w:fill="CCEEFF"/>
          </w:tcPr>
          <w:p>
            <w:pPr>
              <w:spacing w:after="0"/>
              <w:rPr>
                <w:sz w:val="17"/>
                <w:szCs w:val="17"/>
                <w:color w:val="auto"/>
              </w:rPr>
            </w:pPr>
          </w:p>
        </w:tc>
      </w:tr>
      <w:tr>
        <w:trPr>
          <w:trHeight w:val="176"/>
        </w:trPr>
        <w:tc>
          <w:tcPr>
            <w:tcW w:w="900" w:type="dxa"/>
            <w:vAlign w:val="bottom"/>
            <w:gridSpan w:val="2"/>
          </w:tcPr>
          <w:p>
            <w:pPr>
              <w:jc w:val="center"/>
              <w:ind w:left="410"/>
              <w:spacing w:after="0" w:line="176" w:lineRule="exact"/>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Consent of Akin Gump Strauss Hauer &amp; Feld LLP (included in Exhibit 5.1 hereto).</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9" w:lineRule="exact"/>
        <w:rPr>
          <w:sz w:val="20"/>
          <w:szCs w:val="20"/>
          <w:color w:val="auto"/>
        </w:rPr>
      </w:pPr>
    </w:p>
    <w:p>
      <w:pPr>
        <w:ind w:left="660" w:right="5160" w:hanging="96"/>
        <w:spacing w:after="0" w:line="532" w:lineRule="auto"/>
        <w:tabs>
          <w:tab w:leader="none" w:pos="162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33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December 13, 2022</w:t>
      </w:r>
    </w:p>
    <w:p>
      <w:pPr>
        <w:spacing w:after="0" w:line="63"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Teresa L. Dick</w:t>
      </w:r>
    </w:p>
    <w:p>
      <w:pPr>
        <w:spacing w:after="0" w:line="77"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ANY GUARANTORS PARTY HERETO</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COMPUTERSHARE TRUST COMPANY, NATIONAL ASSOCIATION</w:t>
      </w:r>
    </w:p>
    <w:p>
      <w:pPr>
        <w:spacing w:after="0" w:line="2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Dated as of December 13, 2022</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333"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Certain Sections of this Indenture relating to Sections 310</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through 318, inclusive, of the Trust Indenture Act of 1939</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340" w:type="dxa"/>
            <w:vAlign w:val="bottom"/>
            <w:tcBorders>
              <w:top w:val="single" w:sz="8" w:color="auto"/>
              <w:left w:val="single" w:sz="8" w:color="auto"/>
              <w:bottom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18"/>
                <w:szCs w:val="18"/>
                <w:b w:val="1"/>
                <w:bCs w:val="1"/>
                <w:color w:val="auto"/>
              </w:rPr>
              <w:t>Trust Indenture Act Section</w:t>
            </w:r>
          </w:p>
        </w:tc>
        <w:tc>
          <w:tcPr>
            <w:tcW w:w="3900" w:type="dxa"/>
            <w:vAlign w:val="bottom"/>
            <w:tcBorders>
              <w:top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Indenture Section</w:t>
            </w:r>
          </w:p>
        </w:tc>
      </w:tr>
      <w:tr>
        <w:trPr>
          <w:trHeight w:val="209"/>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Section 310(a)(1)</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609</w:t>
            </w:r>
          </w:p>
        </w:tc>
      </w:tr>
      <w:tr>
        <w:trPr>
          <w:trHeight w:val="210"/>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(a)(2)</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609</w:t>
            </w:r>
          </w:p>
        </w:tc>
      </w:tr>
      <w:tr>
        <w:trPr>
          <w:trHeight w:val="209"/>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(a)(3)</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0"/>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(a)(4)</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09"/>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608</w:t>
            </w:r>
          </w:p>
        </w:tc>
      </w:tr>
      <w:tr>
        <w:trPr>
          <w:trHeight w:val="209"/>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311(a)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613</w:t>
            </w:r>
          </w:p>
        </w:tc>
      </w:tr>
      <w:tr>
        <w:trPr>
          <w:trHeight w:val="210"/>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613</w:t>
            </w:r>
          </w:p>
        </w:tc>
      </w:tr>
      <w:tr>
        <w:trPr>
          <w:trHeight w:val="209"/>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312(a)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701</w:t>
            </w:r>
          </w:p>
        </w:tc>
      </w:tr>
      <w:tr>
        <w:trPr>
          <w:trHeight w:val="209"/>
        </w:trPr>
        <w:tc>
          <w:tcPr>
            <w:tcW w:w="7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702</w:t>
            </w:r>
          </w:p>
        </w:tc>
      </w:tr>
      <w:tr>
        <w:trPr>
          <w:trHeight w:val="210"/>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702</w:t>
            </w:r>
          </w:p>
        </w:tc>
      </w:tr>
      <w:tr>
        <w:trPr>
          <w:trHeight w:val="209"/>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702</w:t>
            </w:r>
          </w:p>
        </w:tc>
      </w:tr>
      <w:tr>
        <w:trPr>
          <w:trHeight w:val="210"/>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313(a)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703</w:t>
            </w:r>
          </w:p>
        </w:tc>
      </w:tr>
      <w:tr>
        <w:trPr>
          <w:trHeight w:val="209"/>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703</w:t>
            </w:r>
          </w:p>
        </w:tc>
      </w:tr>
      <w:tr>
        <w:trPr>
          <w:trHeight w:val="209"/>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106, 703</w:t>
            </w:r>
          </w:p>
        </w:tc>
      </w:tr>
      <w:tr>
        <w:trPr>
          <w:trHeight w:val="210"/>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703</w:t>
            </w:r>
          </w:p>
        </w:tc>
      </w:tr>
      <w:tr>
        <w:trPr>
          <w:trHeight w:val="209"/>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314(a)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704</w:t>
            </w:r>
          </w:p>
        </w:tc>
      </w:tr>
      <w:tr>
        <w:trPr>
          <w:trHeight w:val="210"/>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(a)(4)</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w:t>
            </w:r>
          </w:p>
        </w:tc>
      </w:tr>
      <w:tr>
        <w:trPr>
          <w:trHeight w:val="209"/>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09"/>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(c)(1)</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(c)(2)</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(c)(3)</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0"/>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0"/>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102</w:t>
            </w:r>
          </w:p>
        </w:tc>
      </w:tr>
      <w:tr>
        <w:trPr>
          <w:trHeight w:val="209"/>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3.15(a)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601</w:t>
            </w:r>
          </w:p>
        </w:tc>
      </w:tr>
      <w:tr>
        <w:trPr>
          <w:trHeight w:val="210"/>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602</w:t>
            </w:r>
          </w:p>
        </w:tc>
      </w:tr>
      <w:tr>
        <w:trPr>
          <w:trHeight w:val="210"/>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601</w:t>
            </w:r>
          </w:p>
        </w:tc>
      </w:tr>
      <w:tr>
        <w:trPr>
          <w:trHeight w:val="210"/>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601</w:t>
            </w:r>
          </w:p>
        </w:tc>
      </w:tr>
      <w:tr>
        <w:trPr>
          <w:trHeight w:val="209"/>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514</w:t>
            </w:r>
          </w:p>
        </w:tc>
      </w:tr>
      <w:tr>
        <w:trPr>
          <w:trHeight w:val="210"/>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Section 316(a)</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w:t>
            </w:r>
          </w:p>
        </w:tc>
      </w:tr>
      <w:tr>
        <w:trPr>
          <w:trHeight w:val="210"/>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(a)(1)(A)</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502</w:t>
            </w:r>
          </w:p>
        </w:tc>
      </w:tr>
      <w:tr>
        <w:trPr>
          <w:trHeight w:val="210"/>
        </w:trPr>
        <w:tc>
          <w:tcPr>
            <w:tcW w:w="73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512</w:t>
            </w:r>
          </w:p>
        </w:tc>
      </w:tr>
      <w:tr>
        <w:trPr>
          <w:trHeight w:val="209"/>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(a)(1)(B)</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513</w:t>
            </w:r>
          </w:p>
        </w:tc>
      </w:tr>
      <w:tr>
        <w:trPr>
          <w:trHeight w:val="210"/>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(a)(2)</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0"/>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508</w:t>
            </w:r>
          </w:p>
        </w:tc>
      </w:tr>
      <w:tr>
        <w:trPr>
          <w:trHeight w:val="210"/>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104</w:t>
            </w:r>
          </w:p>
        </w:tc>
      </w:tr>
      <w:tr>
        <w:trPr>
          <w:trHeight w:val="209"/>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317(a)(1)</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503</w:t>
            </w:r>
          </w:p>
        </w:tc>
      </w:tr>
      <w:tr>
        <w:trPr>
          <w:trHeight w:val="210"/>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(a)(2)</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504</w:t>
            </w:r>
          </w:p>
        </w:tc>
      </w:tr>
      <w:tr>
        <w:trPr>
          <w:trHeight w:val="210"/>
        </w:trPr>
        <w:tc>
          <w:tcPr>
            <w:tcW w:w="73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1003</w:t>
            </w:r>
          </w:p>
        </w:tc>
      </w:tr>
      <w:tr>
        <w:trPr>
          <w:trHeight w:val="210"/>
        </w:trPr>
        <w:tc>
          <w:tcPr>
            <w:tcW w:w="73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Section 318(a)</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744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20" w:type="dxa"/>
            <w:vAlign w:val="bottom"/>
          </w:tcPr>
          <w:p>
            <w:pPr>
              <w:spacing w:after="0"/>
              <w:rPr>
                <w:sz w:val="20"/>
                <w:szCs w:val="20"/>
                <w:color w:val="auto"/>
              </w:rPr>
            </w:pPr>
          </w:p>
        </w:tc>
      </w:tr>
      <w:tr>
        <w:trPr>
          <w:trHeight w:val="522"/>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DEFINITIONS AND OTHER PROVISIONS OF GENERAL APPLICATION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102  Compliance Certificates and Opinions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103  Form of Documents Delivered to Trustee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104  Acts of Holders; Record Dates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105  Notices, Etc., to Trustee, Company and Guarantors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106  Notice to Holders; Waiver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107  Trust Indenture Act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108  Effect of Headings and Table of Contents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109  Successors and Assigns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110</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Separability Clause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  Benefits of Indenture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112</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113</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Holidays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114  No Adverse Interpretation of Other Agreements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115  No Personal Liability of Directors, Officers, Employees and Stockholders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116  Language of Notices, Etc.</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117</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Force Majeure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118  Waiver of Jury Trial</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119  Counterparts and E-signatures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  U.S.A. PATRIOT Act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SECURITY FORMS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201</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Forms Generally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202  Form of Face of Security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203  Form of Reverse of Security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204  Form of Legend for Global Securities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205  Form of Trustee’s Certificate of Authentication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THE SECURITIES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301  Amount Unlimited; Issuable in Series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302</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Denominations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303  Execution, Authentication, Delivery and Dating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304</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Temporary Securities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305  Registration, Registration of Transfer and Exchange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306  Mutilated, Destroyed, Lost and Wrongfully Taken Securities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307  Payment of Interest; Interest Rights Preserved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308  Persons Deemed Owners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309</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310  Computation of Interest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311</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CUSIP Numbers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SATISFACTION AND DISCHARGE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401  Satisfaction and Discharge of Indenture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9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402  Application of Trust Money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9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 REMEDIES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501  Events of Default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502  Acceleration of Maturity; Rescission and Annulment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503  Collection of Indebtedness and Suits for Enforcement by Trustee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504  Trustee May File Proofs of Claim</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505  Trustee May Enforce Claims Without Possession of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506  Application of Money Collected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507  Limitation on Suits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508  Unconditional Right of Holders to Receive Principal, Premium and Interest and to Convert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509  Restoration of Rights and Remedies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510  Rights and Remedies Cumulative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511  Delay or Omission Not Waiver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512  Control by 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513  Waiver of Past Defaults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514  Undertaking for Costs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515  Waiver of Usury, Stay or Extension Laws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6"/>
        </w:trPr>
        <w:tc>
          <w:tcPr>
            <w:tcW w:w="9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 THE TRUSTEE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601  Certain Duties and Responsibilities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602  Notice of Defaults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603  Certain Rights of Trustee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604  Not Responsible for Recitals or Issuance of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605  May Hold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606  Money Held in Trust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607  Compensation and Reimbursement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608  Conflicting Interests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609  Corporate Trustee Required; Eligibility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610  Resignation and Removal; Appointment of Successor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611  Acceptance of Appointment by Successor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612  Merger, Conversion, Consolidation or Succession to Business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613  Preferential Collection of Claims Against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614  Appointment of Authenticating Agent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6"/>
        </w:trPr>
        <w:tc>
          <w:tcPr>
            <w:tcW w:w="9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 HOLDERS’ LISTS AND REPORTS BY TRUSTEE AND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701  Company to Furnish Trustee Names and Addresses of 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702  Preservation of Information; Communications to 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703  Reports by Trustee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704  Reports by Company and Guarantors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6"/>
        </w:trPr>
        <w:tc>
          <w:tcPr>
            <w:tcW w:w="9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VIII CONSOLIDATION, MERGER, SALE, CONVEYANCE, TRANSFER OR LEASE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801  Company May Consolidate, Etc., Only on Certain Terms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802  Successor Substituted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IX SUPPLEMENTAL INDENTURES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901  Supplemental Indentures Without Consent of 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902  Supplemental Indentures With Consent of 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903  Execution of Supplemental Indentures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904  Effect of Supplemental Indentures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905  Conformity with Trust Indenture Act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906  Reference in Securities to Supplemental Indentures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907  Waivers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6"/>
        </w:trPr>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 COVENANTS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1001  Payment of Principal, Premium and Interest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1002  Maintenance of Office or Agency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1003  Money for Securities Payments to Be Held in Trust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1004  Corporate Existence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1005  Statement by Officer as to Default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1006  Waiver of Certain Covenants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 REDEMPTION OF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1101  Applicability of Article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1102  Election to Redeem; Notice to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1103  Selection by Trustee of Securities to Be Redeemed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1104  Notice of Redemption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1105  Deposit of Redemption Price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1106  Securities Payable on Redemption Date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1107  Securities Redeemed in Part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1108  No Limit on Repurchases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06"/>
        </w:trPr>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XII SINKING FUNDS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1201  Applicability of Article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1202  Satisfaction of Sinking Fund Payments with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1203  Redemption of Securities for Sinking Fund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06"/>
        </w:trPr>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XIII DEFEASANCE AND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1301  Company’s Option to Effect Defeasance or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1302  Defeasance and Discharge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1303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1304  Conditions to Defeasance or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1305  Deposited Money and U.S. Government Obligations to Be Held in Trust; Miscellaneous Provisions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1306  Reinstatement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06"/>
        </w:trPr>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XIV </w:t>
            </w:r>
            <w:r>
              <w:rPr>
                <w:rFonts w:ascii="Times New Roman" w:cs="Times New Roman" w:eastAsia="Times New Roman" w:hAnsi="Times New Roman"/>
                <w:sz w:val="18"/>
                <w:szCs w:val="18"/>
                <w:color w:val="auto"/>
              </w:rPr>
              <w:t>GUARANTEES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1401  Guarantees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INDENTURE, dated as of December 13, 2022, among DIAMONDBACK ENERGY, INC., a corporation duly organized and existing under the laws of the State of Delaware (herein called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having its principal office at 500 West Texas, Suite 100, Midland, Texas 79701, the Guarantors party hereto from time to time, each having its principal office at 500 West Texas, Suite 100, Midland, Texas 79701, and COMPUTERSHARE TRUST COMPANY, NATIONAL ASSOCIATION, as trustee (herein called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to provide for the issuance from time to time of its unsecured debentures, notes or other evidences of indebtedness (herein called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to be issued in one or more series as in this Indenture provided.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things necessary to make this Indenture a valid agreement of the Company in accordance with its terms have been done.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NOW, THEREFORE, THIS INDENTURE WITNESSETH:</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07" w:lineRule="exact"/>
        <w:rPr>
          <w:sz w:val="20"/>
          <w:szCs w:val="20"/>
          <w:color w:val="auto"/>
        </w:rPr>
      </w:pPr>
    </w:p>
    <w:p>
      <w:pPr>
        <w:ind w:left="1540" w:right="20" w:firstLine="648"/>
        <w:spacing w:after="0" w:line="282" w:lineRule="auto"/>
        <w:rPr>
          <w:sz w:val="20"/>
          <w:szCs w:val="20"/>
          <w:color w:val="auto"/>
        </w:rPr>
      </w:pPr>
      <w:r>
        <w:rPr>
          <w:rFonts w:ascii="Times New Roman" w:cs="Times New Roman" w:eastAsia="Times New Roman" w:hAnsi="Times New Roman"/>
          <w:sz w:val="18"/>
          <w:szCs w:val="18"/>
          <w:color w:val="auto"/>
        </w:rPr>
        <w:t>Section 101 Definitions. For all purposes of this Indenture, except as otherwise expressly provided or unless the context otherwise requires:</w:t>
      </w:r>
    </w:p>
    <w:p>
      <w:pPr>
        <w:spacing w:after="0" w:line="162" w:lineRule="exact"/>
        <w:rPr>
          <w:sz w:val="20"/>
          <w:szCs w:val="20"/>
          <w:color w:val="auto"/>
        </w:rPr>
      </w:pPr>
    </w:p>
    <w:p>
      <w:pPr>
        <w:ind w:left="2380" w:hanging="1076"/>
        <w:spacing w:after="0"/>
        <w:tabs>
          <w:tab w:leader="none" w:pos="2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singular;</w:t>
      </w:r>
    </w:p>
    <w:p>
      <w:pPr>
        <w:spacing w:after="0" w:line="207" w:lineRule="exact"/>
        <w:rPr>
          <w:sz w:val="20"/>
          <w:szCs w:val="20"/>
          <w:color w:val="auto"/>
        </w:rPr>
      </w:pPr>
    </w:p>
    <w:p>
      <w:pPr>
        <w:ind w:left="660" w:right="20" w:firstLine="644"/>
        <w:spacing w:after="0" w:line="282" w:lineRule="auto"/>
        <w:tabs>
          <w:tab w:leader="none" w:pos="24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that are defined in the Trust Indenture Act, either directly or by reference therein, have the meanings assigned to them therein;</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GAAP;</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3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an “Article” or a “Section” refers to an Article or a Section, as the case may be, of this Indenture;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2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2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with respect to any Security, the words “convert,” “converted” and “conversion” are intended to refer to the right of the Holder or the Company to convert or exchange such Security into or for securities or other property in accordance with such terms, if any, as may hereafter be specified for such Security as contemplated by Section 301, and these words are not intended to refer to any right of the Holder or the Company to exchange such Security for other Securities of the same series and like tenor pursuant to Section 304, Section 305, Section 306, Section 906 or Section 1107 or another similar provision of this Indenture, unless the context otherwise requires; and references herein to the terms of any Security that may be converted mean such terms as may be specified for such Security as contemplated in Section 301;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left="660" w:firstLine="644"/>
        <w:spacing w:after="0" w:line="266" w:lineRule="auto"/>
        <w:tabs>
          <w:tab w:leader="none" w:pos="22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“duly provided for” and other words of similar import with respect to any amount or property required to be paid or delivered, as applicable, shall include, without limitation, having made such amount or property available for payment or delivery;</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3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shall be deemed to include substitute, replacement or successor sections or rules adopted by the Commission from time to time;</w:t>
      </w:r>
    </w:p>
    <w:p>
      <w:pPr>
        <w:spacing w:after="0" w:line="161" w:lineRule="exact"/>
        <w:rPr>
          <w:rFonts w:ascii="Times New Roman" w:cs="Times New Roman" w:eastAsia="Times New Roman" w:hAnsi="Times New Roman"/>
          <w:sz w:val="18"/>
          <w:szCs w:val="18"/>
          <w:color w:val="auto"/>
        </w:rPr>
      </w:pPr>
    </w:p>
    <w:p>
      <w:pPr>
        <w:ind w:left="2440" w:hanging="1136"/>
        <w:spacing w:after="0"/>
        <w:tabs>
          <w:tab w:leader="none" w:pos="2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words “includes” or “including” are used herein, they shall be deemed to be followed by the words “without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and</w:t>
      </w:r>
    </w:p>
    <w:p>
      <w:pPr>
        <w:spacing w:after="0" w:line="206"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Procedures</w:t>
      </w:r>
      <w:r>
        <w:rPr>
          <w:rFonts w:ascii="Times New Roman" w:cs="Times New Roman" w:eastAsia="Times New Roman" w:hAnsi="Times New Roman"/>
          <w:sz w:val="18"/>
          <w:szCs w:val="18"/>
          <w:color w:val="auto"/>
        </w:rPr>
        <w:t>” of a Depositary means, with respect to any matter at any time, the policies and procedures of such Depositary, if any, that are applicable to such matter at such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when used with respect to Securities of any series, any Person authorized by the Trustee to act on behalf of the Trustee to authenticate the Securities of such series.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any of (a) the board of directors of the Company, (b) any duly authorized committee of that board or (c) any officer of the Company duly authorized by the board of directors of the Company to take a specified action.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 Where any provision of this Indenture refers to action to be taken pursuant to a Board Resolution (including the establishment of any series of the Securities and the forms and terms thereof), such action may be taken by any officer or employee of the Company authorized to take such action by the Board of Directors as evidenced by a Board Resolution.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when used with respect to any Place of Payment, means each Monday, Tuesday, Wednesday, Thursday and Friday that is not a day on which banking institutions in that Place of Payment are authorized or obligated by law or executive order to close; provided that, when used with respect to any Security, “Business Day” may have such other meaning, if any, as may be specified for such Security as contemplated by Section 301.</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Company Order</w:t>
      </w:r>
      <w:r>
        <w:rPr>
          <w:rFonts w:ascii="Times New Roman" w:cs="Times New Roman" w:eastAsia="Times New Roman" w:hAnsi="Times New Roman"/>
          <w:sz w:val="18"/>
          <w:szCs w:val="18"/>
          <w:color w:val="auto"/>
        </w:rPr>
        <w:t>” means a written request or order signed in the name of the Company by any Officer of the Company.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designated office of the Trustee at which at any particular time its corporate trust business shall be administered and which, at the date hereof, is located at 600 South Fourth Street, Corporate Trust Operations MAC N9300-070, Minneapolis, Minnesota 55415, attention Diamondback Energy, Inc. Account Manager, or at such other address as the Trustee may designate from time to time by notice to the Holders and the Company (or such other address as a successor Trustee may designate from time to time by notice to the Holders and the Company).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means a corporation, association, company (including a limited liability company), joint-stock company, business trust or other business entity (other than a partnership).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Covenant Defeasance</w:t>
      </w:r>
      <w:r>
        <w:rPr>
          <w:rFonts w:ascii="Times New Roman" w:cs="Times New Roman" w:eastAsia="Times New Roman" w:hAnsi="Times New Roman"/>
          <w:sz w:val="18"/>
          <w:szCs w:val="18"/>
          <w:color w:val="auto"/>
        </w:rPr>
        <w:t>” has the meaning specified in Section 1303.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specified in Section 307.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Defeasance</w:t>
      </w:r>
      <w:r>
        <w:rPr>
          <w:rFonts w:ascii="Times New Roman" w:cs="Times New Roman" w:eastAsia="Times New Roman" w:hAnsi="Times New Roman"/>
          <w:sz w:val="18"/>
          <w:szCs w:val="18"/>
          <w:color w:val="auto"/>
        </w:rPr>
        <w:t>” has the meaning specified in Section 1302.</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has the meaning specified in Section 104.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and any statute successor thereto, in each case as amended from time to time.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has the meaning specified in Section 104.</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the Public Company Accounting Oversight Board or in such other statements by such other entity as have been approved by a significant segment of the accounting profession, which are in effect from time to time. All ratio computations based on GAAP contained in this Indenture will be computed in conformity with GAAP; provided that, when used with respect to any Security, “GAAP” may have such other meaning, if any, as may be specified for such Security as contemplated by Section 301.</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that evidences all or part of the Securities of any series and bears the legend set forth in Section 204 (or such legend as may be specified as contemplated by Section 301 for such Securities).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color w:val="auto"/>
        </w:rPr>
        <w:t xml:space="preserve">” means a guarantee of any Securities by a Guarantor as contemplated by Article XIV;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 “Guarantee,” when used with respect to any Security or with respect to the Securities of any series, means a guarantee of such Security or of the Securities of such series, respectively, by a Guarantor of such Security or of the Securities of such series, respectively, as contemplated by Article XIV.</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xml:space="preserve">” means any Person that shall have become a Guarantor under this Indenture pursuant to Section 301 or Section 901 hereof, in each case unless and until a successor Person shall have become a successor thereto pursuant to the applicable provisions of this Indenture in place thereof, and thereafter references to such Guarantor shall mean such successor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term “Guarantor,” when used with respect to the Securities of any series, means the Persons who shall from time to time be the Guarantors of Securities of such series as contemplated by Article XIV; and (ii) any Person constituting a Guarantor with respect to the Securities of a series shall cease to constitute a Guarantor with respect to Securities of such series when its Guarantee is released with respect to Securities of such series in accordance with the terms of this Indenture or any relevant indenture supplemental hereto.</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Guarantor’s Board of Directors</w:t>
      </w:r>
      <w:r>
        <w:rPr>
          <w:rFonts w:ascii="Times New Roman" w:cs="Times New Roman" w:eastAsia="Times New Roman" w:hAnsi="Times New Roman"/>
          <w:sz w:val="18"/>
          <w:szCs w:val="18"/>
          <w:color w:val="auto"/>
        </w:rPr>
        <w:t>” means, with respect to any Guarantor, any of (a) the board of directors (or other governing body) of such Guarantor, (b) any duly authorized committee of such board (or other governing body) or (c) any officer of such Guarantor duly authorized by the board of directors (or other governing body) of such Guarantor to take a specified action.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Guarantor’s Board Resolution</w:t>
      </w:r>
      <w:r>
        <w:rPr>
          <w:rFonts w:ascii="Times New Roman" w:cs="Times New Roman" w:eastAsia="Times New Roman" w:hAnsi="Times New Roman"/>
          <w:sz w:val="18"/>
          <w:szCs w:val="18"/>
          <w:color w:val="auto"/>
        </w:rPr>
        <w:t>” means, with respect to any Guarantor, a copy of a resolution certified by the Secretary or an Assistant Secretary of such Guarantor to have been duly adopted by such Guarantor’s Board of Directors and to be in full force and effect on the date of such certification, and delivered to the Trustee. Where any provision of this Indenture refers to action to be taken pursuant to a Guarantor’s Board Resolution, such action may be taken by any officer or employee of such Guarantor authorized to take such action by such Guarantor’s Board of Directors as evidenced by a Guarantor’s Board Resolution.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Guarantor’s Officer’s Certificate</w:t>
      </w:r>
      <w:r>
        <w:rPr>
          <w:rFonts w:ascii="Times New Roman" w:cs="Times New Roman" w:eastAsia="Times New Roman" w:hAnsi="Times New Roman"/>
          <w:sz w:val="18"/>
          <w:szCs w:val="18"/>
          <w:color w:val="auto"/>
        </w:rPr>
        <w:t>” means, with respect to any Guarantor, a certificate signed by any Officer of such Guarantor.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Guarantor Order</w:t>
      </w:r>
      <w:r>
        <w:rPr>
          <w:rFonts w:ascii="Times New Roman" w:cs="Times New Roman" w:eastAsia="Times New Roman" w:hAnsi="Times New Roman"/>
          <w:sz w:val="18"/>
          <w:szCs w:val="18"/>
          <w:color w:val="auto"/>
        </w:rPr>
        <w:t>” means, with respect to any Guarantor, a written request or order signed in the name of such Guarantor by any Officer of such Guarantor.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 Person in whose name a Security is, at the time of determination, registered in the Security Register.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The term “Indenture” shall also include the terms of any particular series or specific Securities within a series and of any Guarantees thereof established as contemplated by Section 301.</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when used with respect to an Original Issue Discount Security that by its terms bears interest only after Maturity, means interest payable after Maturity.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or an installment of principal becomes due and payable as therein or herein provided, whether at the Stated Maturity or by acceleration, call for redemption or otherwise.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Default</w:t>
      </w:r>
      <w:r>
        <w:rPr>
          <w:rFonts w:ascii="Times New Roman" w:cs="Times New Roman" w:eastAsia="Times New Roman" w:hAnsi="Times New Roman"/>
          <w:sz w:val="18"/>
          <w:szCs w:val="18"/>
          <w:color w:val="auto"/>
        </w:rPr>
        <w:t>” means a written notice of the kind specified in Section 501(4).</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any Person, the Chairman of the Board, the Chief Executive Officer, the President, the Chief Financial Officer, the Chief Accounting Officer, any Executive Vice President, any Vice President, the Treasurer, the Secretary or any Assistant Secretary of such Person (or, if such Person is a partnership, the general partner thereof) or any other officer or officers of such Person (or such general partner) designated in a writing by or pursuant to authority of the Board of Directors (if such Person is the Company) or the Guarantor’s Board of Directors with respect to such Guarantor (if such Person is a Guarantor) and delivered to the Trustee from time to time.</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on behalf of the Company by an Officer of the Company, who shall be the principal executive officer, the principal financial officer, the treasurer or the principal accounting officer of the Company, that meets the requirements of Section 102.</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 written opinion from legal counsel (who may be an employee of or counsel for the Company or any Affiliate thereof) who is reasonably acceptable to the Trustee that meets the requirements of Section 102.</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Issue Discount Security</w:t>
      </w:r>
      <w:r>
        <w:rPr>
          <w:rFonts w:ascii="Times New Roman" w:cs="Times New Roman" w:eastAsia="Times New Roman" w:hAnsi="Times New Roman"/>
          <w:sz w:val="18"/>
          <w:szCs w:val="18"/>
          <w:color w:val="auto"/>
        </w:rPr>
        <w:t>” means any Security that provides for an amount less than the principal amount thereof to be due and payable upon an acceleration of the Maturity thereof pursuant to Section 502.</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when used with respect to Securities, means, as of the date of determination, all Securities theretofore authenticated and delivered under this Indenture, except:</w:t>
      </w:r>
    </w:p>
    <w:p>
      <w:pPr>
        <w:spacing w:after="0" w:line="159" w:lineRule="exact"/>
        <w:rPr>
          <w:sz w:val="20"/>
          <w:szCs w:val="20"/>
          <w:color w:val="auto"/>
        </w:rPr>
      </w:pPr>
    </w:p>
    <w:p>
      <w:pPr>
        <w:ind w:left="2180" w:hanging="876"/>
        <w:spacing w:after="0"/>
        <w:tabs>
          <w:tab w:leader="none" w:pos="2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2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79"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as to which Defeasance has been effected pursuant to Section 1302;</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3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that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as to which any property deliverable upon conversion thereof has been delivered (or such delivery has been duly provided for), or as to which any other particular conditions have been satisfied, in each case as may be provided for such Securities as contemplated in Section 301;</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that shall be deemed to be Outstanding shall be the amount of the principal thereof that would be due and payable as of such date upon acceleration of the Maturity thereof to such date pursuant to Section 502, (B) if, as of such date, the principal amount payable at the Stated Maturity of a Security is not determinable, the principal amount of such Security that shall be deemed to be Outstanding shall be the amount as specified or determined as contemplated by Section 301, (C) the principal amount of a Security denominated in one or more foreign currencies, composite currencies or currency units that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any Guarantor of the Securities or any other obligor upon the Securities or any Affiliate of the Company or any such Guarantor or of such other obligor shall be disregarded and deemed not to be Outstanding, except that, in determining whether the Trustee shall be protected in relying upon any such request, demand, authorization, direction, notice, consent, waiver or other action, only Securities that a Responsible Officer of the Trustee actually knows to be so owned shall be so disregarded. Securities so owned that have been pledged in good faith may be regarded as Outstanding if the pledgee establishes to the satisfaction of the Trustee the pledgee’s right so to act with respect to such Securities and that the pledgee is not the Company or any Guarantor of such Securities or any other obligor upon the Securities or any Affiliate of the Company or a Guarantor of the Securities or such other obligor.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means any Person authorized by the Company to pay the principal of or any premium or interest on any Securities on behalf of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trust, unincorporated organization or government or any agency or political subdivision thereof or any other entity.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 of Payment</w:t>
      </w:r>
      <w:r>
        <w:rPr>
          <w:rFonts w:ascii="Times New Roman" w:cs="Times New Roman" w:eastAsia="Times New Roman" w:hAnsi="Times New Roman"/>
          <w:sz w:val="18"/>
          <w:szCs w:val="18"/>
          <w:color w:val="auto"/>
        </w:rPr>
        <w:t>,” when used with respect to the Securities of any series and subject to Section 1002, means the place or places where the principal of and any premium and interest on the Securities of that series are payable as contemplated by Section 301.</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wrongfully taken Security shall be deemed to evidence the same debt as the mutilated, destroyed, lost or wrongfully taken Security.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when used with respect to any Security to be redeemed, means the date fixed for such redemption by or pursuant to this Indenture.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when used with respect to any Security to be redeemed, means the price at which it is to be redeemed pursuant to this Indenture.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Regular Record Date</w:t>
      </w:r>
      <w:r>
        <w:rPr>
          <w:rFonts w:ascii="Times New Roman" w:cs="Times New Roman" w:eastAsia="Times New Roman" w:hAnsi="Times New Roman"/>
          <w:sz w:val="18"/>
          <w:szCs w:val="18"/>
          <w:color w:val="auto"/>
        </w:rPr>
        <w:t>” for the interest payable on any Interest Payment Date on the Securities of any series, means the date specified for that purpose as contemplated by Section 301.</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department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and any statute successor thereto, in each case as amended from time to time.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Law</w:t>
      </w:r>
      <w:r>
        <w:rPr>
          <w:rFonts w:ascii="Times New Roman" w:cs="Times New Roman" w:eastAsia="Times New Roman" w:hAnsi="Times New Roman"/>
          <w:sz w:val="18"/>
          <w:szCs w:val="18"/>
          <w:color w:val="auto"/>
        </w:rPr>
        <w:t>” has the meaning specified in Section 119.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Record Date</w:t>
      </w:r>
      <w:r>
        <w:rPr>
          <w:rFonts w:ascii="Times New Roman" w:cs="Times New Roman" w:eastAsia="Times New Roman" w:hAnsi="Times New Roman"/>
          <w:sz w:val="18"/>
          <w:szCs w:val="18"/>
          <w:color w:val="auto"/>
        </w:rPr>
        <w:t>” for the payment of any Defaulted Interest, means a date fixed by the Trustee pursuant to Section 307.</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means any (i) corporation of which the outstanding capital stock having a majority of the votes entitled to be cast in the election of directors, managers or trustees of such corporation under ordinary circumstances shall at the time be owned, directly or indirectly, by such Person or any other Person of which a majority of the voting interests under ordinary circumstances is at the time, directly or indirectly, owned by such Person or (ii) 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Successor Guarantor</w:t>
      </w:r>
      <w:r>
        <w:rPr>
          <w:rFonts w:ascii="Times New Roman" w:cs="Times New Roman" w:eastAsia="Times New Roman" w:hAnsi="Times New Roman"/>
          <w:sz w:val="18"/>
          <w:szCs w:val="18"/>
          <w:color w:val="auto"/>
        </w:rPr>
        <w:t>” has the meaning specified in Section 1401.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in force at the date as of which this Indenture was executed; provided, however, that in the event the Trust Indenture Act of 1939 is amended after such date, “</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to the extent required by any such amendment, the Trust Indenture Act of 1939 as so amended.</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the Person named as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in the first paragraph of this instrument until a successor Trustee shall have become such pursuant to the applicable provisions of this Indenture, and thereafter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shall mean or include each Person who is then a Trustee hereunder, and if at any time there is more than one such Person,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as used with respect to the Securities of any series shall mean the Trustee with respect to Securities of that series.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Uniform Commercial Code</w:t>
      </w:r>
      <w:r>
        <w:rPr>
          <w:rFonts w:ascii="Times New Roman" w:cs="Times New Roman" w:eastAsia="Times New Roman" w:hAnsi="Times New Roman"/>
          <w:sz w:val="18"/>
          <w:szCs w:val="18"/>
          <w:color w:val="auto"/>
        </w:rPr>
        <w:t>” means the Uniform Commercial Code in effect in the State of Delaware or the State of New York, as applicable, in each case as amended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Obligation</w:t>
      </w:r>
      <w:r>
        <w:rPr>
          <w:rFonts w:ascii="Times New Roman" w:cs="Times New Roman" w:eastAsia="Times New Roman" w:hAnsi="Times New Roman"/>
          <w:sz w:val="18"/>
          <w:szCs w:val="18"/>
          <w:color w:val="auto"/>
        </w:rPr>
        <w:t>” has the meaning specified in Section 1304.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Vice President</w:t>
      </w:r>
      <w:r>
        <w:rPr>
          <w:rFonts w:ascii="Times New Roman" w:cs="Times New Roman" w:eastAsia="Times New Roman" w:hAnsi="Times New Roman"/>
          <w:sz w:val="18"/>
          <w:szCs w:val="18"/>
          <w:color w:val="auto"/>
        </w:rPr>
        <w:t>,” when used with respect to the Company, any Guarantor or the Trustee, means any executive vice president and any senior vice president, whether or not designated by a number or a word or words added before or after the title “executive vice president” or “senior vice president.”</w:t>
      </w:r>
    </w:p>
    <w:p>
      <w:pPr>
        <w:spacing w:after="0" w:line="159" w:lineRule="exact"/>
        <w:rPr>
          <w:sz w:val="20"/>
          <w:szCs w:val="20"/>
          <w:color w:val="auto"/>
        </w:rPr>
      </w:pPr>
    </w:p>
    <w:p>
      <w:pPr>
        <w:jc w:val="both"/>
        <w:ind w:left="15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Compliance Certificates and Opinions</w:t>
      </w:r>
      <w:r>
        <w:rPr>
          <w:rFonts w:ascii="Times New Roman" w:cs="Times New Roman" w:eastAsia="Times New Roman" w:hAnsi="Times New Roman"/>
          <w:sz w:val="18"/>
          <w:szCs w:val="18"/>
          <w:color w:val="auto"/>
        </w:rPr>
        <w:t>. Upon any application or request by the Company or a Guarantor to the Trustee to take any action under any provision of this Indenture, the Company or such Guarantor, as the case may be, shall furnish to the Trustee such certificates and opinions as may be required under the Trust Indenture Act. Each such certificate or opinion shall be given in the form of an Officer’s Certificate, if to be given by an officer of the Company, or a Guarantor’s Officer’s Certificate, if to be given by an officer of any Guarantor, or an Opinion of Counsel, if to be given by counsel, and shall comply with the requirements of the Trust Indenture Act and any other requirements set forth in this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2300" w:hanging="996"/>
        <w:spacing w:after="0"/>
        <w:tabs>
          <w:tab w:leader="none" w:pos="2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covenant or condition and the definitions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relating thereto;</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2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jc w:val="both"/>
        <w:ind w:left="15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Form of Documents Delivered to Trustee</w:t>
      </w:r>
      <w:r>
        <w:rPr>
          <w:rFonts w:ascii="Times New Roman" w:cs="Times New Roman" w:eastAsia="Times New Roman" w:hAnsi="Times New Roman"/>
          <w:sz w:val="18"/>
          <w:szCs w:val="18"/>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certificate or opinion of an Officer of the Company or a Guarantor may be based, insofar as it relates to legal matters, upon a certificate or opinion of, or representations by, counsel. Any such certificate or opinion of, or representation by, counsel may be based, insofar as it relates to factual matters, upon a certificate or opinion of, or representations by, an Officer or Officers of the Company or such Guarantor, as the case may be, stating that the information with respect to such factual matters is in the possession of the Company or such Guarantor, as the case may be.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15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Acts of Holders; Record Dates</w:t>
      </w:r>
      <w:r>
        <w:rPr>
          <w:rFonts w:ascii="Times New Roman" w:cs="Times New Roman" w:eastAsia="Times New Roman" w:hAnsi="Times New Roman"/>
          <w:sz w:val="18"/>
          <w:szCs w:val="18"/>
          <w:color w:val="auto"/>
        </w:rPr>
        <w:t>. Any request, demand, authorization, direction, notice, consent, waiver or other action provided or permitted by or pursuant to this Indenture to be given, made or taken by Holders may be embodied in and evidenced by one or more instruments of substantially similar tenor signed by such Holders in person or by an agent or agents duly appointed in writing; and, except as herein otherwise expressly provided, such action shall become effective when such instrument or instruments are delivered to the Trustee and, where it is hereby expressly required, to the Company and any Guarantor. Such instrument or instruments (and the action embodied therein and evidenced thereby) are herein sometimes referred to as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of the Holders signing such instrument or instruments. Proof of execution of any such instrument or of a writing appointing any such agent shall be sufficient for any purpose of this Indenture and (subject to Section 601) conclusive in favor of the Trustee, the Company and any Guarantor, if made in the manner provided in this Section 104.</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limiting the generality of this Section 104, unless otherwise provided in or pursuant to this Indenture, (i) a Holder, including a Depositary or its nominee that is a Holder of a Global Security, may give, make or take, by an agent or agents duly appointed in writing, any request, demand, authorization, direction, notice, consent, waiver or other action provided or permitted in or pursuant to this Indenture to be given, made or taken by Holders, and a Depositary or its nominee that is a Holder of a Global Security may duly appoint in writing as its agent or agents members of, or participants in, such Depositary holding interests in such Global Security in the records of such Depositary, and (ii) with respect to any Global Security the Depositary for which is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any consent or other action given, made or taken by an “agent member” of DTC by electronic means in accordance with the Automated Tender Offer Procedures system or other Applicable Procedures of, and pursuant to authorization by, DTC shall be deemed to constitute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of the Holder of such Global Security, and such Act shall be deemed to have been delivered to the Company, any Guarantor and the Trustee upon the delivery by DTC of an “agent’s message” or other notice of such consent or other action having been so given, made or taken in accordance with the Applicable Procedures of DTC.</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fact and date of the execution by any Person of any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ownership of Securities shall be proved by the Security Register.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or any Guarantor in reliance thereon, whether or not notation of such action is made upon such Security.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With respect to Securities of any series, the Company may set any day as a record date for the purpose of determining the Holders of Outstanding Securities of such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making or taking of any notice, declaration, request or direction referred to in the next paragraph. If any record date is set pursuant to this paragraph, the Holders of Outstanding Securities of the relevant series on such record date, and no other Holders, shall be entitled to give, make or take the relevant action, whether or not such Holders remain Holders after such record date; provided, however, that no such action shall be effective hereunder unless given, made or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given, made or taken by Holders of the requisite principal amount of Outstanding Securities of the relevant series on the date such action is given, made or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105 and Section 106.</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Trustee may set any day as a record date for the purpose of determining the Holders of Outstanding Securities of any series entitled to join in the giving, making or taking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give, make or take such notice, declaration, request or direction, whether or not such Holders remain Holders after such record date; provided, however, that no such action shall be effective hereunder unless given, made or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given, made or taken by Holders of the requisite principal amount of Outstanding Securities of the relevant series on the date such action is given, made or taken. Promptly after any record date is set pursuant to this paragraph, the Trustee, at the Company’s expense, shall cause notice of such record date, the proposed action by Holders and the applicable Expiration Date to be given to the Company and any Guarantor in writing and to each Holder of Securities of the relevant series in the manner set forth in Section 105 and Section 106.</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any record date set pursuant to this Section 104, the party hereto which sets such record date may designate any day as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104, the party hereto which set such record date shall be deemed to have initially designated the 180th day after such record date as the Expiration Date with respect thereto, subject to its right to change the Expiration Date to an earlier day as provided in this paragraph. Notwithstanding the foregoing, no Expiration Date shall be later than the 180th day after the applicable record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firstLine="648"/>
        <w:spacing w:after="0" w:line="282" w:lineRule="auto"/>
        <w:rPr>
          <w:sz w:val="20"/>
          <w:szCs w:val="20"/>
          <w:color w:val="auto"/>
        </w:rPr>
      </w:pPr>
      <w:r>
        <w:rPr>
          <w:rFonts w:ascii="Times New Roman" w:cs="Times New Roman" w:eastAsia="Times New Roman" w:hAnsi="Times New Roman"/>
          <w:sz w:val="18"/>
          <w:szCs w:val="18"/>
          <w:color w:val="auto"/>
        </w:rPr>
        <w:t>Without limiting the foregoing, a Holder entitled hereunder to give, make or take any action hereunder with regard to any particular Security may do so, in person or by an agent duly appointed in writing, with regard to all or any part of the principal amount of such Security.</w:t>
      </w:r>
    </w:p>
    <w:p>
      <w:pPr>
        <w:spacing w:after="0" w:line="162" w:lineRule="exact"/>
        <w:rPr>
          <w:sz w:val="20"/>
          <w:szCs w:val="20"/>
          <w:color w:val="auto"/>
        </w:rPr>
      </w:pPr>
    </w:p>
    <w:p>
      <w:pPr>
        <w:jc w:val="both"/>
        <w:ind w:left="15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Notices, Etc., to Trustee, Company and Guarantors</w:t>
      </w:r>
      <w:r>
        <w:rPr>
          <w:rFonts w:ascii="Times New Roman" w:cs="Times New Roman" w:eastAsia="Times New Roman" w:hAnsi="Times New Roman"/>
          <w:sz w:val="18"/>
          <w:szCs w:val="18"/>
          <w:color w:val="auto"/>
        </w:rPr>
        <w:t>. Any request, demand, authorization, direction, notice, consent, waiver or Act of Holders or other document provided or permitted by this Indenture to be made upon, given or furnished to, or filed with, (1) the Trustee by any Holder or by the Company or any Guarantor shall be sufficient for every purpose hereunder (unless otherwise herein expressly provided) if made, given, furnished or filed in writing and delivered in Person, mailed by first class mail (registered or certified, return receipt requested), transmitted by facsimile or sent by overnight courier guaranteeing next Business Day delivery to or with the Trustee addressed to it at its Corporate Trust Office or (2) the Company or a Guarantor by the Trustee or by any Holder shall be sufficient for every purpose hereunder (unless otherwise herein expressly provided) if made, given, furnished or filed in writing and delivered in Person, mailed by first class mail (registered or certified, return receipt requested), transmitted by facsimile or sent by overnight courier guaranteeing next Business Day delivery, to or with the Company or such Guarantor, as the case may be, addressed to it at the address of its principal office specified in the first paragraph of this instrument, Attention: Chief Financial Officer, with a copy to Akin Gump Strauss Hauer &amp; Feld LLP, 1111 Louisiana Street, 44th Floor, Houston, Texas 77002, Facsimile: (713) 236-0822, Attention: John Goodgame, or at any other address previously furnished in writing to the Trustee by the Company.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requests, demands, authorizations, directions, notices, consents, waivers or Acts of Holders or other such documents made, given, furnished or filed with or to the Trustee, the Company or any Guarantor shall be deemed to have been duly made, given furnished or filed: (i) at the time delivered by hand, if personally delivered; (ii) upon confirmation of delivery, if mailed by first class mail (registered or certified, return receipt requested); (iii) when receipt is confirmed, if transmitted by facsimile; and (iv) the next Business Day after timely delivery to the courier, if sent by overnight air courier guaranteeing next Business Day delivery. Notices given by publication will be deemed given on the first date on which publication is made.</w:t>
      </w:r>
    </w:p>
    <w:p>
      <w:pPr>
        <w:spacing w:after="0" w:line="183" w:lineRule="exact"/>
        <w:rPr>
          <w:sz w:val="20"/>
          <w:szCs w:val="20"/>
          <w:color w:val="auto"/>
        </w:rPr>
      </w:pPr>
    </w:p>
    <w:p>
      <w:pPr>
        <w:jc w:val="both"/>
        <w:ind w:left="15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Notice to Holders; Waiver</w:t>
      </w:r>
      <w:r>
        <w:rPr>
          <w:rFonts w:ascii="Times New Roman" w:cs="Times New Roman" w:eastAsia="Times New Roman" w:hAnsi="Times New Roman"/>
          <w:sz w:val="18"/>
          <w:szCs w:val="18"/>
          <w:color w:val="auto"/>
        </w:rPr>
        <w:t>. Where this Indenture provides for notice or other communication to Holders of any event, such notice shall be sufficiently given (unless otherwise herein expressly provided) if given in writing and mailed by first class mail (registered or certified, return receipt requested) or sent by overnight air courier guaranteeing next Business Day delivery, to each Holder affected by such event, at such Holder’s address as it appears in the Security Register, not later than the latest date (if any), and not earlier than the earliest date (if any), prescribed for the giving of such notice or other communication. Any notice or other communication shall also be so mailed or otherwise sent to any Person described in Section 313(c) of the Trust Indenture Act, to the extent required by the Trust Indenture Act. Failure to mail or otherwise send a notice or other communication to a Holder or any defect in it shall not affect its sufficiency with respect to other 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notice or communication is mailed or otherwise sent in the manner provided above within the time prescribed, it is duly given, whether or not the addressee receives it. Where this Indenture provides for notice or other communication in any manner, such notice or other communication may be waived in writing by the Person entitled to receive such notice or other communication, either before or after the event, and such waiver shall be the equivalent of such notice or other communication. Waivers of notice or other communication by Holders shall be filed with the Trustee, but such filing shall not be a condition precedent to the validity of any action taken in reliance upon such waiver. If the Company mails or otherwise sends a notice or communication to the Holders, it shall send a copy to the Trustee at the same time.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or other communication by mail, then such notification as shall be made with the approval of the Trustee shall constitute a sufficient notification for every purpose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or other communication with respect to any event to a Holder of a Global Security, such notice or other communication shall be sufficiently given if given to the Depositary for such Security (or its designee), pursuant to its Applicable Procedures, not later than the latest date (if any), and not earlier than the earliest date (if any), prescribed for the giving of such notice or other communication.</w:t>
      </w:r>
    </w:p>
    <w:p>
      <w:pPr>
        <w:spacing w:after="0" w:line="176" w:lineRule="exact"/>
        <w:rPr>
          <w:sz w:val="20"/>
          <w:szCs w:val="20"/>
          <w:color w:val="auto"/>
        </w:rPr>
      </w:pPr>
    </w:p>
    <w:p>
      <w:pPr>
        <w:jc w:val="both"/>
        <w:ind w:left="15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Trust Indenture Act Matters</w:t>
      </w:r>
      <w:r>
        <w:rPr>
          <w:rFonts w:ascii="Times New Roman" w:cs="Times New Roman" w:eastAsia="Times New Roman" w:hAnsi="Times New Roman"/>
          <w:sz w:val="18"/>
          <w:szCs w:val="18"/>
          <w:color w:val="auto"/>
        </w:rPr>
        <w:t>. 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 Whenever this Indenture refers to a provision of the Trust Indenture Act, the provision is incorporated by reference in and made a part of this Indenture.</w:t>
      </w:r>
    </w:p>
    <w:p>
      <w:pPr>
        <w:spacing w:after="0" w:line="187" w:lineRule="exact"/>
        <w:rPr>
          <w:sz w:val="20"/>
          <w:szCs w:val="20"/>
          <w:color w:val="auto"/>
        </w:rPr>
      </w:pPr>
    </w:p>
    <w:p>
      <w:pPr>
        <w:jc w:val="both"/>
        <w:ind w:left="15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Effect of Headings and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4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in this Indenture and the Securities by the Company, the Trustee and any Guarantor, except as otherwise provided in Section 802 and Section 1401, shall bind their respective successors and assigns, whether so expressed or not.</w:t>
      </w:r>
    </w:p>
    <w:p>
      <w:pPr>
        <w:spacing w:after="0" w:line="176" w:lineRule="exact"/>
        <w:rPr>
          <w:sz w:val="20"/>
          <w:szCs w:val="20"/>
          <w:color w:val="auto"/>
        </w:rPr>
      </w:pPr>
    </w:p>
    <w:p>
      <w:pPr>
        <w:jc w:val="both"/>
        <w:ind w:left="42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Separability Clause</w:t>
      </w:r>
      <w:r>
        <w:rPr>
          <w:rFonts w:ascii="Times New Roman" w:cs="Times New Roman" w:eastAsia="Times New Roman" w:hAnsi="Times New Roman"/>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jc w:val="both"/>
        <w:ind w:left="4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or in the Securities, express or implied, shall give to any Person, other than the parties hereto and their successors hereunder and the Holders, any benefit or any legal or equitable right, remedy or claim under this Indenture, except as may otherwise be provided pursuant to Section 301 with respect to any Securities of a particular series or under this Indenture with respect to such Securities.</w:t>
      </w:r>
    </w:p>
    <w:p>
      <w:pPr>
        <w:spacing w:after="0" w:line="180" w:lineRule="exact"/>
        <w:rPr>
          <w:sz w:val="20"/>
          <w:szCs w:val="20"/>
          <w:color w:val="auto"/>
        </w:rPr>
      </w:pPr>
    </w:p>
    <w:p>
      <w:pPr>
        <w:jc w:val="both"/>
        <w:ind w:left="4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Indenture, the Guarantees and the Securities and the rights and obligations of the parties hereto and thereto, including the interpretation, construction, validity and enforceability thereof, shall be governed by and construed and interpreted in accordance with the law of the State of New York.</w:t>
      </w:r>
    </w:p>
    <w:p>
      <w:pPr>
        <w:spacing w:after="0" w:line="176" w:lineRule="exact"/>
        <w:rPr>
          <w:sz w:val="20"/>
          <w:szCs w:val="20"/>
          <w:color w:val="auto"/>
        </w:rPr>
      </w:pPr>
    </w:p>
    <w:p>
      <w:pPr>
        <w:jc w:val="both"/>
        <w:ind w:left="4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 In any case where any Interest Payment Date, Redemption Date or Maturity of any Security, or any date on which a Holder has the right to convert his Security, shall not be a Business Day at any Place of Payment, then (notwithstanding any other provision of this Indenture or of the Securities (other than a provision of any Security that specifically states that such provision shall apply in lieu of this Section 113)) payment of interest or principal (and premium, if any), or conversion of such Security need not be made at such Place of Payment on such date, but may be made on the next succeeding Business Day at such Place of Payment with the same force and effect as if made on the Interest Payment Date or Redemption Date, or at the Maturity, or on such date for conversion, as the case may be; provided, however, that no interest shall accrue with respect to such payment for the period from and after such Interest Payment Date, Redemption Date, Maturity or date for conversion, as the case may be.</w:t>
      </w:r>
    </w:p>
    <w:p>
      <w:pPr>
        <w:spacing w:after="0" w:line="192" w:lineRule="exact"/>
        <w:rPr>
          <w:sz w:val="20"/>
          <w:szCs w:val="20"/>
          <w:color w:val="auto"/>
        </w:rPr>
      </w:pPr>
    </w:p>
    <w:p>
      <w:pPr>
        <w:jc w:val="both"/>
        <w:ind w:left="42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 This Indenture may not be used to interpret any other indenture, loan or other agreement of the Company or any Guarantor or any Subsidiaries of the Company or any Guarantor or of any other Person. Any such indenture, loan or other agreement may not be used to interpret this Indenture.</w:t>
      </w:r>
    </w:p>
    <w:p>
      <w:pPr>
        <w:spacing w:after="0" w:line="176" w:lineRule="exact"/>
        <w:rPr>
          <w:sz w:val="20"/>
          <w:szCs w:val="20"/>
          <w:color w:val="auto"/>
        </w:rPr>
      </w:pPr>
    </w:p>
    <w:p>
      <w:pPr>
        <w:jc w:val="both"/>
        <w:ind w:left="4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No Personal Liability of Directors, Officers, Employees and Stockholders</w:t>
      </w:r>
      <w:r>
        <w:rPr>
          <w:rFonts w:ascii="Times New Roman" w:cs="Times New Roman" w:eastAsia="Times New Roman" w:hAnsi="Times New Roman"/>
          <w:sz w:val="18"/>
          <w:szCs w:val="18"/>
          <w:color w:val="auto"/>
        </w:rPr>
        <w:t>. No past, present or future director, officer, employee, manager, member, partner, incorporator or stockholder of the Company or any Guarantor, as such, will have any liability for any obligations of the Company or any Guarantor, respectively, under the Securities or this Indenture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3" w:name="page24"/>
    <w:bookmarkEnd w:id="23"/>
    <w:p>
      <w:pPr>
        <w:jc w:val="both"/>
        <w:ind w:left="4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Language of Notices, Etc</w:t>
      </w:r>
      <w:r>
        <w:rPr>
          <w:rFonts w:ascii="Times New Roman" w:cs="Times New Roman" w:eastAsia="Times New Roman" w:hAnsi="Times New Roman"/>
          <w:sz w:val="18"/>
          <w:szCs w:val="18"/>
          <w:color w:val="auto"/>
        </w:rPr>
        <w:t>. Any request, demand, authorization, direction, notice, consent, waiver, other action or Act provided or permitted under this Indenture shall be in the English language, except that any published notice may be in an official language of the country of publication.</w:t>
      </w:r>
    </w:p>
    <w:p>
      <w:pPr>
        <w:spacing w:after="0" w:line="176" w:lineRule="exact"/>
        <w:rPr>
          <w:sz w:val="20"/>
          <w:szCs w:val="20"/>
          <w:color w:val="auto"/>
        </w:rPr>
      </w:pPr>
    </w:p>
    <w:p>
      <w:pPr>
        <w:jc w:val="both"/>
        <w:ind w:left="4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Subject to Section 601, in no event shall the Trustee be responsible or liable for any failure or delay in the performance of its obligations hereunder arising out of or caused by, directly or indirectly, forces beyond its control, including, without limitation (i) any act or provision of any present or future law or regulation or governmental authority, (ii) any act of God, (iii) natural disaster, (iv) war, (v) terrorism, (vi) civil unrest, (vii) accidents, (viii) labor dispute, (ix) disease, (x) epidemic or pandemic, (xi) quarantine, (xii) national emergency, (xiii) loss or malfunction of utility or computer software or hardware, (xiv) communications system failure, (xv) malware or ransomware, (xvi) unavailability of the Federal Reserve Bank wire or telex system or other wire or other funds transfer systems, or (xvii)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88" w:lineRule="exact"/>
        <w:rPr>
          <w:sz w:val="20"/>
          <w:szCs w:val="20"/>
          <w:color w:val="auto"/>
        </w:rPr>
      </w:pPr>
    </w:p>
    <w:p>
      <w:pPr>
        <w:jc w:val="both"/>
        <w:ind w:left="4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COMPANY, EACH GUARANTOR AND THE TRUSTEE HEREBY WAIVES, TO THE FULLEST EXTENT PERMITTED BY APPLICABLE LAW, ANY RIGHT IT MAY HAVE TO A TRIAL BY JURY IN RESPECT OF ANY LITIGATION DIRECTLY OR INDIRECTLY ARISING OUT OF, UNDER OR IN CONNECTION WITH THIS INDENTURE.</w:t>
      </w:r>
    </w:p>
    <w:p>
      <w:pPr>
        <w:spacing w:after="0" w:line="180" w:lineRule="exact"/>
        <w:rPr>
          <w:sz w:val="20"/>
          <w:szCs w:val="20"/>
          <w:color w:val="auto"/>
        </w:rPr>
      </w:pPr>
    </w:p>
    <w:p>
      <w:pPr>
        <w:jc w:val="both"/>
        <w:ind w:left="4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Counterparts and E-signatures</w:t>
      </w:r>
      <w:r>
        <w:rPr>
          <w:rFonts w:ascii="Times New Roman" w:cs="Times New Roman" w:eastAsia="Times New Roman" w:hAnsi="Times New Roman"/>
          <w:sz w:val="18"/>
          <w:szCs w:val="18"/>
          <w:color w:val="auto"/>
        </w:rPr>
        <w:t>. This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cs="Times New Roman" w:eastAsia="Times New Roman" w:hAnsi="Times New Roman"/>
          <w:sz w:val="18"/>
          <w:szCs w:val="18"/>
          <w:b w:val="1"/>
          <w:bCs w:val="1"/>
          <w:i w:val="1"/>
          <w:iCs w:val="1"/>
          <w:color w:val="auto"/>
        </w:rPr>
        <w:t>Signature Law</w:t>
      </w:r>
      <w:r>
        <w:rPr>
          <w:rFonts w:ascii="Times New Roman" w:cs="Times New Roman" w:eastAsia="Times New Roman" w:hAnsi="Times New Roman"/>
          <w:sz w:val="18"/>
          <w:szCs w:val="18"/>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Uniform Commercial Code or other Signature Law due to the character or intended character of the writings.</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p>
      <w:pPr>
        <w:jc w:val="both"/>
        <w:ind w:left="4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120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parties hereto acknowledge that in accordance with the Customer Identification Program requirements under the USA PATRIOT Act and its implementing regulations, the Trustee in order to help fight the funding of terrorism and money laundering, is required to obtain, verify, and record information that identifies each person or legal entity that establishes a relationship or opens an account with the Trustee. The parties hereby agree that they shall provide the Trustee with such information as it may request including, but not limited to, each party’s name, physical address, tax identification number and other information that will help the Trustee identify and verify each party’s identity such as organizational documents, certificate of good standing, license to do business, or other pertinent identifying information.</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SECURITY FORMS</w:t>
      </w:r>
    </w:p>
    <w:p>
      <w:pPr>
        <w:spacing w:after="0" w:line="207" w:lineRule="exact"/>
        <w:rPr>
          <w:sz w:val="20"/>
          <w:szCs w:val="20"/>
          <w:color w:val="auto"/>
        </w:rPr>
      </w:pPr>
    </w:p>
    <w:p>
      <w:pPr>
        <w:jc w:val="both"/>
        <w:ind w:left="4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Generally</w:t>
      </w:r>
      <w:r>
        <w:rPr>
          <w:rFonts w:ascii="Times New Roman" w:cs="Times New Roman" w:eastAsia="Times New Roman" w:hAnsi="Times New Roman"/>
          <w:sz w:val="18"/>
          <w:szCs w:val="18"/>
          <w:color w:val="auto"/>
        </w:rPr>
        <w:t>. As to each series of Securities, (i) the Securities of such series shall be in substantially the form set forth in this Article, or in such other form as shall be established by or pursuant to a Board Resolution or in one or more indentures supplemental hereto, and (ii) if the Securities of such series are to be guaranteed by the Guarantees of any Guarantor as provided in Section 301 and the terms of such Securities provide for the endorsement thereon or attachment thereto of notations of guarantee by such Guarantor, such notations of guarantee to be endorsed on or attached to such Securities shall be in substantially such form as shall be established by or pursuant to a Guarantor’s Board Resolution of such Guarantor or in one or more indentures supplemental hereto, in the case of (i) or (ii),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 executing such Securities or notations of guarantee, respectively, as evidenced by such officer’s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If the form of any notation of guarantee by any Guarantor to be endorsed on Securities of any series is established by action taken pursuant to a Guarantor’s Board Resolution of such Guarantor, a copy of an appropriate record of such action shall be certified by the Secretary or an Assistant Secretary of such Guarantor and delivered to the Trustee at or prior to the delivery of the Guarantor Order contemplated by Section 303 for the authentication and delivery of such Securities with such notation of guarantee endorsed thereon. For purposes hereof, a notation of guarantee that is endorsed on, or otherwise attached to, a Security shall be deemed “endorsed” on such Security.</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5" w:name="page26"/>
    <w:bookmarkEnd w:id="2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definitive Securities and any notations of guarantee endorsed thereon shall be printed, lithographed or engraved on steel engraved borders or may be produced in any other manner, all as determined by the officer of the Company executing such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Anything herein to the contrary notwithstanding, there shall be no requirement that any Security have endorsed thereon or attached thereto a notation of guarantee, but such notation of guarantee may be endorsed thereon or attached thereto as contemplated by this Section 201. The Guarantee of a Guarantor shall be evidenced only by its execution and delivery of this Indenture or an indenture supplemental hereto, and not by its execution and delivery of a notation of guarantee. A notation of guarantee shall be for notice purposes only and shall not constitute an enforceable agreement or instrument.</w:t>
      </w:r>
    </w:p>
    <w:p>
      <w:pPr>
        <w:spacing w:after="0" w:line="180" w:lineRule="exact"/>
        <w:rPr>
          <w:sz w:val="20"/>
          <w:szCs w:val="20"/>
          <w:color w:val="auto"/>
        </w:rPr>
      </w:pPr>
    </w:p>
    <w:p>
      <w:pPr>
        <w:ind w:left="2200"/>
        <w:spacing w:after="0"/>
        <w:tabs>
          <w:tab w:leader="none" w:pos="348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8"/>
          <w:szCs w:val="18"/>
          <w:u w:val="single" w:color="auto"/>
          <w:color w:val="auto"/>
        </w:rPr>
        <w:t>Form of Face of Security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any legend required by the Internal Revenue Code and the regulations thereunder.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CUSIP [●]</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9740" w:space="720"/>
            <w:col w:w="780"/>
          </w:cols>
          <w:pgMar w:left="320" w:top="904" w:right="3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DIAMONDBACK ENERGY, INC.</w:t>
      </w:r>
    </w:p>
    <w:p>
      <w:pPr>
        <w:sectPr>
          <w:pgSz w:w="11900" w:h="16838" w:orient="portrait"/>
          <w:cols w:equalWidth="0" w:num="1">
            <w:col w:w="11240"/>
          </w:cols>
          <w:pgMar w:left="320" w:top="904" w:right="339" w:bottom="1440" w:gutter="0" w:footer="0" w:header="0"/>
          <w:type w:val="continuous"/>
        </w:sectPr>
      </w:pP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DIAMONDBACK ENERGY, INC., a corporation duly organized and existing under the laws of the State of Delaware (herein called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which term includes any successor Person under the Indenture hereinafter referred to), for value received, hereby promises to pay to [●], or registered</w:t>
      </w:r>
    </w:p>
    <w:p>
      <w:pPr>
        <w:spacing w:after="0" w:line="1" w:lineRule="exact"/>
        <w:rPr>
          <w:sz w:val="20"/>
          <w:szCs w:val="20"/>
          <w:color w:val="auto"/>
        </w:rPr>
      </w:pPr>
    </w:p>
    <w:p>
      <w:pPr>
        <w:spacing w:after="0"/>
        <w:tabs>
          <w:tab w:leader="none" w:pos="11160" w:val="left"/>
        </w:tabs>
        <w:rPr>
          <w:sz w:val="20"/>
          <w:szCs w:val="20"/>
          <w:color w:val="auto"/>
        </w:rPr>
      </w:pPr>
      <w:r>
        <w:rPr>
          <w:rFonts w:ascii="Times New Roman" w:cs="Times New Roman" w:eastAsia="Times New Roman" w:hAnsi="Times New Roman"/>
          <w:sz w:val="18"/>
          <w:szCs w:val="18"/>
          <w:color w:val="auto"/>
        </w:rPr>
        <w:t xml:space="preserve">assigns, the principal sum of [●] Dollars on [●] [if the Security is to bear interest prior to Maturity, insert — </w:t>
      </w:r>
      <w:r>
        <w:rPr>
          <w:rFonts w:ascii="Times New Roman" w:cs="Times New Roman" w:eastAsia="Times New Roman" w:hAnsi="Times New Roman"/>
          <w:sz w:val="18"/>
          <w:szCs w:val="18"/>
          <w:i w:val="1"/>
          <w:iCs w:val="1"/>
          <w:color w:val="auto"/>
        </w:rPr>
        <w:t>, and to pay interest thereon from</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from the most recent Interest Payment Date to which interest has been paid or duly provided for, semi-annually on [●] and [●] in each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commencing [●], and at the Maturity thereof, at the rate of [●]% per annum, until the principal hereof is paid or made available for payment, provided that any premium, and any such installment of interest, which is overdue shall bear interest at the rate of [●]% per annum (to the extent that the payment of such interest shall be legally enforceable), from the date such overdue amount is due until such amount is paid or duly provided for, and such interest on any overdue amount shall be payable on demand</w:t>
      </w:r>
      <w:r>
        <w:rPr>
          <w:rFonts w:ascii="Times New Roman" w:cs="Times New Roman" w:eastAsia="Times New Roman" w:hAnsi="Times New Roman"/>
          <w:sz w:val="18"/>
          <w:szCs w:val="18"/>
          <w:color w:val="auto"/>
        </w:rPr>
        <w:t>]. The interest so payable, and punctually paid or duly provided for, on any Interest Payment Date will,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such Indenture, be paid to the Person in whose name this Security (or one or more Predecessor Securities) is registered at the close of business on the Regular Record Date for such interest, which shall be the [●] or [●] (whether or not a Business Day), as the case may be, next preceding such Interest Payment Date. Any such interest so payable, but not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in any other lawful manner not inconsistent with the requirements of any securities exchange on which this Security may be listed, and upon such notice as may be required by such exchange, all as more fully provided in said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1" w:lineRule="exact"/>
        <w:rPr>
          <w:sz w:val="20"/>
          <w:szCs w:val="20"/>
          <w:color w:val="auto"/>
        </w:rPr>
      </w:pPr>
    </w:p>
    <w:p>
      <w:pPr>
        <w:jc w:val="both"/>
        <w:ind w:firstLine="908"/>
        <w:spacing w:after="0" w:line="210" w:lineRule="auto"/>
        <w:tabs>
          <w:tab w:leader="none" w:pos="1026"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the Securities of the applicable series are to be sold “flat,” insert the date of original issuance of Securities of such series. If the Securities of the applicable series are to be issued “with accrued interest,” insert the Interest Payment Date for Securities of such series next preceding the date of original issuance of Securities of such series.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6" w:name="page27"/>
    <w:bookmarkEnd w:id="2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Security is not to bear interest prior to Maturity, insert — </w:t>
      </w:r>
      <w:r>
        <w:rPr>
          <w:rFonts w:ascii="Times New Roman" w:cs="Times New Roman" w:eastAsia="Times New Roman" w:hAnsi="Times New Roman"/>
          <w:sz w:val="18"/>
          <w:szCs w:val="18"/>
          <w:i w:val="1"/>
          <w:iCs w:val="1"/>
          <w:color w:val="auto"/>
        </w:rPr>
        <w:t>The principal of this Security shall not bear interest except in the case of a 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payment of principal upon acceleration, upon redemption or at Stated Maturity and in such case the overdue principal and any overdue premium 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that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and [if applicable, insert — </w:t>
      </w:r>
      <w:r>
        <w:rPr>
          <w:rFonts w:ascii="Times New Roman" w:cs="Times New Roman" w:eastAsia="Times New Roman" w:hAnsi="Times New Roman"/>
          <w:sz w:val="18"/>
          <w:szCs w:val="18"/>
          <w:i w:val="1"/>
          <w:iCs w:val="1"/>
          <w:color w:val="auto"/>
        </w:rPr>
        <w:t>any such</w:t>
      </w:r>
      <w:r>
        <w:rPr>
          <w:rFonts w:ascii="Times New Roman" w:cs="Times New Roman" w:eastAsia="Times New Roman" w:hAnsi="Times New Roman"/>
          <w:sz w:val="18"/>
          <w:szCs w:val="18"/>
          <w:color w:val="auto"/>
        </w:rPr>
        <w:t>] interest on this Security will be made at the office or agency of the Company maintained for that purpose, which is initially the corporate trust office of the Trustee in Minneapolis, Minnesota, in such coin or currency of the United States of America as at the time of payment is legal tender for payment of public and private debts, against surrender of this Security in the case of any payment due at the Maturity of the principal thereof or any payment of interest becomes payable on a day other than an Interest Payment Date; provided, however, that if this Security is not a Global Security, (i) payment of interest on an Interest Payment Date will be made by check mailed to the address of the Person entitled thereto as such address shall appear in the Security Register; and all other payments will be made by check against surrender of this Security; (ii) all payments by check will be made in next-day funds (i.e., funds that become available on the day after the check is cashed); and (iii) notwithstanding clauses (i) and (ii) above, with respect to any payment of any amount due on this Security, if this Security is in a denomination of at least $1,000,000 and the Holder hereof at the time of surrender hereof or, in the case of any payment of interest on any Interest Payment Date, the Holder thereof on the related Regular Record Date delivers a written request to the Paying Agent to make such payment by wire transfer at least five Business Days before the date such payment becomes due, together with appropriate wire transfer instructions specifying an account at a bank in the United States of America, the Company shall make such payment by wire transfer of immediately available funds to such account at such bank, any such wire instructions, once properly given by a Holder as to this Security, remaining in effect as to such Holder and this Security unless and until new instructions are given in the manner described above; provided further, that notwithstanding anything in the foregoing to the contrary, if this Security is a Global Security, payment shall be made pursuant to the Applicable Procedures of the Depositary as permitted in the Indenture.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signed manually or by facsimile by its duly authorized officer.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4" w:lineRule="exact"/>
        <w:rPr>
          <w:sz w:val="20"/>
          <w:szCs w:val="20"/>
          <w:color w:val="auto"/>
        </w:rPr>
      </w:pPr>
    </w:p>
    <w:p>
      <w:pPr>
        <w:jc w:val="both"/>
        <w:ind w:left="15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Form of Reverse of Security</w:t>
      </w:r>
      <w:r>
        <w:rPr>
          <w:rFonts w:ascii="Times New Roman" w:cs="Times New Roman" w:eastAsia="Times New Roman" w:hAnsi="Times New Roman"/>
          <w:sz w:val="18"/>
          <w:szCs w:val="18"/>
          <w:color w:val="auto"/>
        </w:rPr>
        <w:t>. This Security is one of a duly authorized issue of securities of the Company (herein called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issued and to be issued in one or more series under an Indenture, dated as of December 13, 2022 (herein called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which term shall have the meaning assigned to it in such instrument), among the Company, the Guarantors, if any, and Computershare Trust Company, National Association, as trustee (herein called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xml:space="preserve">,” which term includes any successor trustee under the Indenture), and reference is hereby made to the Indenture for a statement of the respective rights, limitations of rights, duties and immunities thereunder of the Company, the Guarantors, if any, the Trustee and the Holders of the Securities and of the terms upon which the Securities are, and are to be, authenticated and delivered. This Security is one of the series designated on the face hereof [if applicable, insert — </w:t>
      </w:r>
      <w:r>
        <w:rPr>
          <w:rFonts w:ascii="Times New Roman" w:cs="Times New Roman" w:eastAsia="Times New Roman" w:hAnsi="Times New Roman"/>
          <w:sz w:val="18"/>
          <w:szCs w:val="18"/>
          <w:i w:val="1"/>
          <w:iCs w:val="1"/>
          <w:color w:val="auto"/>
        </w:rPr>
        <w:t>limited in aggregate principal amount to $[●]</w:t>
      </w:r>
      <w:r>
        <w:rPr>
          <w:rFonts w:ascii="Times New Roman" w:cs="Times New Roman" w:eastAsia="Times New Roman" w:hAnsi="Times New Roman"/>
          <w:sz w:val="18"/>
          <w:szCs w:val="18"/>
          <w:color w:val="auto"/>
        </w:rPr>
        <w:t xml:space="preserve"> ].</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Security is the general, unsecured obligation of the Company [if applicable, insert — </w:t>
      </w:r>
      <w:r>
        <w:rPr>
          <w:rFonts w:ascii="Times New Roman" w:cs="Times New Roman" w:eastAsia="Times New Roman" w:hAnsi="Times New Roman"/>
          <w:sz w:val="18"/>
          <w:szCs w:val="18"/>
          <w:i w:val="1"/>
          <w:iCs w:val="1"/>
          <w:color w:val="auto"/>
        </w:rPr>
        <w:t>and is guaranteed pursuant to a guarantee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“Guarantee”) by [insert name of each Guarantor] and any other Person who shall become such in accordance with the Indenture (the “Guarantors”). The Guarantee by each Guarantor is the general, unsecured, senior obligation of such Guarantor, subject to the release and discharge thereof as provided in the Indenture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applicable, insert — </w:t>
      </w:r>
      <w:r>
        <w:rPr>
          <w:rFonts w:ascii="Times New Roman" w:cs="Times New Roman" w:eastAsia="Times New Roman" w:hAnsi="Times New Roman"/>
          <w:sz w:val="18"/>
          <w:szCs w:val="18"/>
          <w:i w:val="1"/>
          <w:iCs w:val="1"/>
          <w:color w:val="auto"/>
        </w:rPr>
        <w:t>The Securities of this series are subject to redemption upon not less than 10 days’ nor more than 60 days’ notice, at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time [if applicable, insert — on or after [●], 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a whole or in part, at the election of the Company, at the following Redemption Prices (expressed as percentages of the principal amount): If redeemed </w:t>
      </w:r>
      <w:r>
        <w:rPr>
          <w:rFonts w:ascii="Times New Roman" w:cs="Times New Roman" w:eastAsia="Times New Roman" w:hAnsi="Times New Roman"/>
          <w:sz w:val="18"/>
          <w:szCs w:val="18"/>
          <w:color w:val="auto"/>
        </w:rPr>
        <w:t>[if applicable, insert —</w:t>
      </w:r>
      <w:r>
        <w:rPr>
          <w:rFonts w:ascii="Times New Roman" w:cs="Times New Roman" w:eastAsia="Times New Roman" w:hAnsi="Times New Roman"/>
          <w:sz w:val="18"/>
          <w:szCs w:val="18"/>
          <w:i w:val="1"/>
          <w:iCs w:val="1"/>
          <w:color w:val="auto"/>
        </w:rPr>
        <w:t xml:space="preserve"> on or before [ ● ], [ ● ]%, and if redeemed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during the 12-month period beginning [●] of the years indicated,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1240"/>
        <w:spacing w:after="0"/>
        <w:tabs>
          <w:tab w:leader="none" w:pos="3500" w:val="left"/>
          <w:tab w:leader="none" w:pos="6820" w:val="left"/>
          <w:tab w:leader="none" w:pos="9120" w:val="left"/>
        </w:tabs>
        <w:rPr>
          <w:sz w:val="20"/>
          <w:szCs w:val="20"/>
          <w:color w:val="auto"/>
        </w:rPr>
      </w:pPr>
      <w:r>
        <w:rPr>
          <w:rFonts w:ascii="Times New Roman" w:cs="Times New Roman" w:eastAsia="Times New Roman" w:hAnsi="Times New Roman"/>
          <w:sz w:val="18"/>
          <w:szCs w:val="18"/>
          <w:b w:val="1"/>
          <w:bCs w:val="1"/>
          <w:color w:val="auto"/>
        </w:rPr>
        <w:t>Year</w:t>
      </w:r>
      <w:r>
        <w:rPr>
          <w:sz w:val="20"/>
          <w:szCs w:val="20"/>
          <w:color w:val="auto"/>
        </w:rPr>
        <w:tab/>
      </w:r>
      <w:r>
        <w:rPr>
          <w:rFonts w:ascii="Times New Roman" w:cs="Times New Roman" w:eastAsia="Times New Roman" w:hAnsi="Times New Roman"/>
          <w:sz w:val="18"/>
          <w:szCs w:val="18"/>
          <w:b w:val="1"/>
          <w:bCs w:val="1"/>
          <w:color w:val="auto"/>
        </w:rPr>
        <w:t>Redemption Price</w:t>
      </w:r>
      <w:r>
        <w:rPr>
          <w:sz w:val="20"/>
          <w:szCs w:val="20"/>
          <w:color w:val="auto"/>
        </w:rPr>
        <w:tab/>
      </w:r>
      <w:r>
        <w:rPr>
          <w:rFonts w:ascii="Times New Roman" w:cs="Times New Roman" w:eastAsia="Times New Roman" w:hAnsi="Times New Roman"/>
          <w:sz w:val="18"/>
          <w:szCs w:val="18"/>
          <w:b w:val="1"/>
          <w:bCs w:val="1"/>
          <w:color w:val="auto"/>
        </w:rPr>
        <w:t>Year</w:t>
      </w:r>
      <w:r>
        <w:rPr>
          <w:sz w:val="20"/>
          <w:szCs w:val="20"/>
          <w:color w:val="auto"/>
        </w:rPr>
        <w:tab/>
      </w:r>
      <w:r>
        <w:rPr>
          <w:rFonts w:ascii="Times New Roman" w:cs="Times New Roman" w:eastAsia="Times New Roman" w:hAnsi="Times New Roman"/>
          <w:sz w:val="17"/>
          <w:szCs w:val="17"/>
          <w:b w:val="1"/>
          <w:bCs w:val="1"/>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19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and thereafter at a Redemption Price equal to [●]% of the principal amount, together in the case of any such redemption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[If applicable, insert — </w:t>
      </w:r>
      <w:r>
        <w:rPr>
          <w:rFonts w:ascii="Times New Roman" w:cs="Times New Roman" w:eastAsia="Times New Roman" w:hAnsi="Times New Roman"/>
          <w:sz w:val="18"/>
          <w:szCs w:val="18"/>
          <w:i w:val="1"/>
          <w:iCs w:val="1"/>
          <w:color w:val="auto"/>
        </w:rPr>
        <w:t>The Securities of this series are subject to redemption upon not less than 10 nor more than 60 days’ notice, (1) on [●] in any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commencing with the year [●] and ending with the year [●] through operation of the sinking fund for this series at the Redemption Prices for redemption through operation of the sinking fund (expressed as percentages of the principal amount) set forth in the table below, and (2) at any time [if applicable, insert — 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 [●] of the years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Redemption Price for Redemption Otherwise</w:t>
            </w:r>
          </w:p>
        </w:tc>
      </w:tr>
      <w:tr>
        <w:trPr>
          <w:trHeight w:val="216"/>
        </w:trPr>
        <w:tc>
          <w:tcPr>
            <w:tcW w:w="1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 Price for Redemption Through</w:t>
            </w:r>
          </w:p>
        </w:tc>
        <w:tc>
          <w:tcPr>
            <w:tcW w:w="200" w:type="dxa"/>
            <w:vAlign w:val="bottom"/>
          </w:tcPr>
          <w:p>
            <w:pPr>
              <w:spacing w:after="0"/>
              <w:rPr>
                <w:sz w:val="18"/>
                <w:szCs w:val="18"/>
                <w:color w:val="auto"/>
              </w:rPr>
            </w:pP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Than Through Operation of the Sinking</w:t>
            </w:r>
          </w:p>
        </w:tc>
      </w:tr>
      <w:tr>
        <w:trPr>
          <w:trHeight w:val="238"/>
        </w:trPr>
        <w:tc>
          <w:tcPr>
            <w:tcW w:w="100" w:type="dxa"/>
            <w:vAlign w:val="bottom"/>
          </w:tcPr>
          <w:p>
            <w:pPr>
              <w:spacing w:after="0"/>
              <w:rPr>
                <w:sz w:val="20"/>
                <w:szCs w:val="20"/>
                <w:color w:val="auto"/>
              </w:rPr>
            </w:pPr>
          </w:p>
        </w:tc>
        <w:tc>
          <w:tcPr>
            <w:tcW w:w="364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 of the Sinking Fund</w:t>
            </w:r>
          </w:p>
        </w:tc>
        <w:tc>
          <w:tcPr>
            <w:tcW w:w="200" w:type="dxa"/>
            <w:vAlign w:val="bottom"/>
          </w:tcPr>
          <w:p>
            <w:pPr>
              <w:spacing w:after="0"/>
              <w:rPr>
                <w:sz w:val="20"/>
                <w:szCs w:val="20"/>
                <w:color w:val="auto"/>
              </w:rPr>
            </w:pP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Fund</w:t>
            </w:r>
          </w:p>
        </w:tc>
      </w:tr>
      <w:tr>
        <w:trPr>
          <w:trHeight w:val="210"/>
        </w:trPr>
        <w:tc>
          <w:tcPr>
            <w:tcW w:w="100" w:type="dxa"/>
            <w:vAlign w:val="bottom"/>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and thereafter] at a Redemption Price equal to [●]%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applicable, insert — </w:t>
      </w:r>
      <w:r>
        <w:rPr>
          <w:rFonts w:ascii="Times New Roman" w:cs="Times New Roman" w:eastAsia="Times New Roman" w:hAnsi="Times New Roman"/>
          <w:sz w:val="18"/>
          <w:szCs w:val="18"/>
          <w:i w:val="1"/>
          <w:iCs w:val="1"/>
          <w:color w:val="auto"/>
        </w:rPr>
        <w:t>Notwithstanding the foregoing, the Company may not, prior to [●], redeem any Securities of this series as contemplated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applicable, insert — </w:t>
      </w:r>
      <w:r>
        <w:rPr>
          <w:rFonts w:ascii="Times New Roman" w:cs="Times New Roman" w:eastAsia="Times New Roman" w:hAnsi="Times New Roman"/>
          <w:sz w:val="18"/>
          <w:szCs w:val="18"/>
          <w:i w:val="1"/>
          <w:iCs w:val="1"/>
          <w:color w:val="auto"/>
        </w:rPr>
        <w:t>The sinking fund for this series provides for the redemption on [●] in each year beginning with the year [●] and 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the year [●] of [if applicable, insert — not less than $[●] (“mandatory sinking fund”) and not more than] $[●] aggregate principal amount of 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in the inverse order in which they become due.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[If the Security is subject to redemption of any kind, insert — </w:t>
      </w:r>
      <w:r>
        <w:rPr>
          <w:rFonts w:ascii="Times New Roman" w:cs="Times New Roman" w:eastAsia="Times New Roman" w:hAnsi="Times New Roman"/>
          <w:sz w:val="18"/>
          <w:szCs w:val="18"/>
          <w:i w:val="1"/>
          <w:iCs w:val="1"/>
          <w:color w:val="auto"/>
        </w:rPr>
        <w:t>In the event of redemption of this Security in part only, a new Security or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this series and of like tenor for the unredeemed portion hereof will be issued in the name of the Holder hereof upon the cancellation hereof.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[If applicable, insert — </w:t>
      </w:r>
      <w:r>
        <w:rPr>
          <w:rFonts w:ascii="Times New Roman" w:cs="Times New Roman" w:eastAsia="Times New Roman" w:hAnsi="Times New Roman"/>
          <w:sz w:val="18"/>
          <w:szCs w:val="18"/>
          <w:i w:val="1"/>
          <w:iCs w:val="1"/>
          <w:color w:val="auto"/>
        </w:rPr>
        <w:t>The Indenture contains provisions for defeasance at any time of the entire indebtedness of this Security or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restrictive covenants and Events of Default with respect to this Security, in each case upon compliance with certain conditions set forth in the Indenture.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[If applicable, insert — </w:t>
      </w:r>
      <w:r>
        <w:rPr>
          <w:rFonts w:ascii="Times New Roman" w:cs="Times New Roman" w:eastAsia="Times New Roman" w:hAnsi="Times New Roman"/>
          <w:sz w:val="18"/>
          <w:szCs w:val="18"/>
          <w:i w:val="1"/>
          <w:iCs w:val="1"/>
          <w:color w:val="auto"/>
        </w:rPr>
        <w:t>As provided in the Indenture and subject to certain limitations therein set forth, the obligations of the Company under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are guaranteed by each of the Guarantors pursuant to the Indenture [as indicated in the notation of guarantee endorsed hereon]. The Indenture provides that a Guarantor shall be released from its Guarantee upon compliance with certain conditions.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[If the Security is not an Original Issue Discount Security, insert — </w:t>
      </w:r>
      <w:r>
        <w:rPr>
          <w:rFonts w:ascii="Times New Roman" w:cs="Times New Roman" w:eastAsia="Times New Roman" w:hAnsi="Times New Roman"/>
          <w:sz w:val="18"/>
          <w:szCs w:val="18"/>
          <w:i w:val="1"/>
          <w:iCs w:val="1"/>
          <w:color w:val="auto"/>
        </w:rPr>
        <w:t>If an Event of Default with respect to Securities of this series shall occur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continuing, the principal of the Securities of this series may be declared due and payable in the manner and with the effect provided in the Indenture.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[If the Security is an Original Issue Discount Security, insert — </w:t>
      </w:r>
      <w:r>
        <w:rPr>
          <w:rFonts w:ascii="Times New Roman" w:cs="Times New Roman" w:eastAsia="Times New Roman" w:hAnsi="Times New Roman"/>
          <w:sz w:val="18"/>
          <w:szCs w:val="18"/>
          <w:i w:val="1"/>
          <w:iCs w:val="1"/>
          <w:color w:val="auto"/>
        </w:rPr>
        <w:t>If an Event of Default with respect to Securities of this series shall occur and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Indenture permits, with certain exceptions as therein provided, the amendment thereof and the modification of the rights and obligations of the Company [if applicable, insert — </w:t>
      </w:r>
      <w:r>
        <w:rPr>
          <w:rFonts w:ascii="Times New Roman" w:cs="Times New Roman" w:eastAsia="Times New Roman" w:hAnsi="Times New Roman"/>
          <w:sz w:val="18"/>
          <w:szCs w:val="18"/>
          <w:i w:val="1"/>
          <w:iCs w:val="1"/>
          <w:color w:val="auto"/>
        </w:rPr>
        <w:t>and the Guarantors</w:t>
      </w:r>
      <w:r>
        <w:rPr>
          <w:rFonts w:ascii="Times New Roman" w:cs="Times New Roman" w:eastAsia="Times New Roman" w:hAnsi="Times New Roman"/>
          <w:sz w:val="18"/>
          <w:szCs w:val="18"/>
          <w:color w:val="auto"/>
        </w:rPr>
        <w:t xml:space="preserve">] and the rights of the Holders of the Securities to be affected under the Indenture at any time by the Company[if applicable, insert — </w:t>
      </w:r>
      <w:r>
        <w:rPr>
          <w:rFonts w:ascii="Times New Roman" w:cs="Times New Roman" w:eastAsia="Times New Roman" w:hAnsi="Times New Roman"/>
          <w:sz w:val="18"/>
          <w:szCs w:val="18"/>
          <w:i w:val="1"/>
          <w:iCs w:val="1"/>
          <w:color w:val="auto"/>
        </w:rPr>
        <w:t>and the Guarantors</w:t>
      </w:r>
      <w:r>
        <w:rPr>
          <w:rFonts w:ascii="Times New Roman" w:cs="Times New Roman" w:eastAsia="Times New Roman" w:hAnsi="Times New Roman"/>
          <w:sz w:val="18"/>
          <w:szCs w:val="18"/>
          <w:color w:val="auto"/>
        </w:rPr>
        <w:t xml:space="preserve">] and the Trustee with the consent of the Holders of a majority in principal amount (including consents obtained in connection with a purchase of, or tender offer or exchange offer for, Securities) of all Securities at the time Outstanding to be affected (considered together as one class for this purpose and such Securities to be affected potentially being Securities of the same or different series and, with respect to any series, potentially comprising fewer than all the Securities of such series), except as may otherwise be provided pursuant to the Indenture for all or any specific Securities of any series. The Indenture also contains provisions (i) permitting the Holders of a majority in principal amount (including waivers obtained in connection with a purchase of, or tender offer or exchange offer for, Securities) of the Securities at the time Outstanding to be affected under the Indenture (considered together as one class for this purpose and such affected Securities potentially being Securities of the same or different series and, with respect to any particular series, potentially comprising fewer than all the Securities of such series), on behalf of the Holders of all Securities so affected, to waive compliance by the Company [if applicable, insert — </w:t>
      </w:r>
      <w:r>
        <w:rPr>
          <w:rFonts w:ascii="Times New Roman" w:cs="Times New Roman" w:eastAsia="Times New Roman" w:hAnsi="Times New Roman"/>
          <w:sz w:val="18"/>
          <w:szCs w:val="18"/>
          <w:i w:val="1"/>
          <w:iCs w:val="1"/>
          <w:color w:val="auto"/>
        </w:rPr>
        <w:t>and the Guarantors</w:t>
      </w:r>
      <w:r>
        <w:rPr>
          <w:rFonts w:ascii="Times New Roman" w:cs="Times New Roman" w:eastAsia="Times New Roman" w:hAnsi="Times New Roman"/>
          <w:sz w:val="18"/>
          <w:szCs w:val="18"/>
          <w:color w:val="auto"/>
        </w:rPr>
        <w:t>] with certain provisions of the Indenture and (ii) permitting the Holders of a majority in principal amount (including waivers obtained in connection with a purchase of, or tender offer or exchange offer for, Securities) of the Securities at the time Outstanding of any series to be affected under the Indenture (with each such series considered separately for this purpose), on behalf of the Holders of all Securities of such series, to waive certain past defaults under the Indenture with respect to such series and their consequences, in the case of Clause (i) or (ii), except as may otherwise be provided pursuant to the Indenture for all or any specific Securities of any series.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and offered the Trustee security or indemnity reasonably satisfactory to it,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security or indemnity. The foregoing shall not apply to any suit instituted by the Holder of this Security for the enforcement of any payment of principal hereof or any premium or interest hereon on or after the respective due dates expressed herein.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[if applicable, insert — </w:t>
      </w:r>
      <w:r>
        <w:rPr>
          <w:rFonts w:ascii="Times New Roman" w:cs="Times New Roman" w:eastAsia="Times New Roman" w:hAnsi="Times New Roman"/>
          <w:sz w:val="18"/>
          <w:szCs w:val="18"/>
          <w:i w:val="1"/>
          <w:iCs w:val="1"/>
          <w:color w:val="auto"/>
        </w:rPr>
        <w:t>or alter or impair the obligation of each Guarantor, which is absolute and unconditional, to 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pursuant to its Guarantee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Prior to due presentment of this Security for registration of transfer, the Company, [if applicable, insert — </w:t>
      </w:r>
      <w:r>
        <w:rPr>
          <w:rFonts w:ascii="Times New Roman" w:cs="Times New Roman" w:eastAsia="Times New Roman" w:hAnsi="Times New Roman"/>
          <w:sz w:val="18"/>
          <w:szCs w:val="18"/>
          <w:i w:val="1"/>
          <w:iCs w:val="1"/>
          <w:color w:val="auto"/>
        </w:rPr>
        <w:t>any Guarantor,</w:t>
      </w:r>
      <w:r>
        <w:rPr>
          <w:rFonts w:ascii="Times New Roman" w:cs="Times New Roman" w:eastAsia="Times New Roman" w:hAnsi="Times New Roman"/>
          <w:sz w:val="18"/>
          <w:szCs w:val="18"/>
          <w:color w:val="auto"/>
        </w:rPr>
        <w:t xml:space="preserve">] the Trustee and any agent of the Company [if applicable, insert — </w:t>
      </w:r>
      <w:r>
        <w:rPr>
          <w:rFonts w:ascii="Times New Roman" w:cs="Times New Roman" w:eastAsia="Times New Roman" w:hAnsi="Times New Roman"/>
          <w:sz w:val="18"/>
          <w:szCs w:val="18"/>
          <w:i w:val="1"/>
          <w:iCs w:val="1"/>
          <w:color w:val="auto"/>
        </w:rPr>
        <w:t>any Guarantor</w:t>
      </w:r>
      <w:r>
        <w:rPr>
          <w:rFonts w:ascii="Times New Roman" w:cs="Times New Roman" w:eastAsia="Times New Roman" w:hAnsi="Times New Roman"/>
          <w:sz w:val="18"/>
          <w:szCs w:val="18"/>
          <w:color w:val="auto"/>
        </w:rPr>
        <w:t xml:space="preserve">] or the Trustee shall treat the Person in whose name this Security is registered as the owner hereof for all purposes, whether or not this Security be overdue, and neither the Company, [if applicable, insert — </w:t>
      </w:r>
      <w:r>
        <w:rPr>
          <w:rFonts w:ascii="Times New Roman" w:cs="Times New Roman" w:eastAsia="Times New Roman" w:hAnsi="Times New Roman"/>
          <w:sz w:val="18"/>
          <w:szCs w:val="18"/>
          <w:i w:val="1"/>
          <w:iCs w:val="1"/>
          <w:color w:val="auto"/>
        </w:rPr>
        <w:t>any Guarantor,</w:t>
      </w:r>
      <w:r>
        <w:rPr>
          <w:rFonts w:ascii="Times New Roman" w:cs="Times New Roman" w:eastAsia="Times New Roman" w:hAnsi="Times New Roman"/>
          <w:sz w:val="18"/>
          <w:szCs w:val="18"/>
          <w:color w:val="auto"/>
        </w:rPr>
        <w:t>] the Trustee nor any such agent shall be affected by notice to the contrary.</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[If this Security is a Global Security, insert — </w:t>
      </w:r>
      <w:r>
        <w:rPr>
          <w:rFonts w:ascii="Times New Roman" w:cs="Times New Roman" w:eastAsia="Times New Roman" w:hAnsi="Times New Roman"/>
          <w:sz w:val="18"/>
          <w:szCs w:val="18"/>
          <w:i w:val="1"/>
          <w:iCs w:val="1"/>
          <w:color w:val="auto"/>
        </w:rPr>
        <w:t>This Security is a Global Security and is subject to the provisions of the Indenture relating to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including the limitations therein on transfers and exchanges of Global Securities.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and the Indenture shall be governed by and construed in accordance with the law of the State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terms used in this Security that are defined in the Indenture shall have the meanings assigned to them in the Indenture.</w:t>
      </w:r>
    </w:p>
    <w:p>
      <w:pPr>
        <w:spacing w:after="0" w:line="225" w:lineRule="exact"/>
        <w:rPr>
          <w:sz w:val="20"/>
          <w:szCs w:val="20"/>
          <w:color w:val="auto"/>
        </w:rPr>
      </w:pPr>
    </w:p>
    <w:p>
      <w:pPr>
        <w:jc w:val="both"/>
        <w:ind w:left="15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Form of Legend for Global Securities</w:t>
      </w:r>
      <w:r>
        <w:rPr>
          <w:rFonts w:ascii="Times New Roman" w:cs="Times New Roman" w:eastAsia="Times New Roman" w:hAnsi="Times New Roman"/>
          <w:sz w:val="18"/>
          <w:szCs w:val="18"/>
          <w:color w:val="auto"/>
        </w:rPr>
        <w:t>. Unless otherwise specified as contemplated by Section 301 for the Securities evidenced thereby, every Global Security authenticated and delivered hereunder shall bear a legend in substantially the following form: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3" w:lineRule="exact"/>
        <w:rPr>
          <w:sz w:val="20"/>
          <w:szCs w:val="20"/>
          <w:color w:val="auto"/>
        </w:rPr>
      </w:pPr>
    </w:p>
    <w:p>
      <w:pPr>
        <w:ind w:left="154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 The Trustee’s certificates of authentication shall be in substantially the following form: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herein and referred to in the within-mentioned Indenture.</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[_______________], as Trustee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-121920</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7" w:lineRule="exact"/>
        <w:rPr>
          <w:sz w:val="20"/>
          <w:szCs w:val="20"/>
          <w:color w:val="auto"/>
        </w:rPr>
      </w:pPr>
    </w:p>
    <w:p>
      <w:pPr>
        <w:ind w:left="154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 The aggregate principal amount of Securities that may be authenticated and delivered under this Indenture is unlimited.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76" w:lineRule="exact"/>
        <w:rPr>
          <w:sz w:val="20"/>
          <w:szCs w:val="20"/>
          <w:color w:val="auto"/>
        </w:rPr>
      </w:pPr>
    </w:p>
    <w:p>
      <w:pPr>
        <w:ind w:left="2180" w:hanging="876"/>
        <w:spacing w:after="0"/>
        <w:tabs>
          <w:tab w:leader="none" w:pos="2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the series from Securities of any other series);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2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Section 305, Section 306, Section 906 or Section 1107 and except for any Securities that, pursuant to Section 303, are deemed never to have been authenticated and delivered hereunder);</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3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any Securities of the series is payable or the method of determination thereof and the amount of principal that will be payable;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Securities of the series shall bear interest, if any, or contingent interest, if any, or the formula, method or provision pursuant to which such rate or rates are determined, and the date or dates from which such interest shall accrue or the method of determination thereof;</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3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Payment Dates on which any such interest shall be payable and the Regular Record Date for any such interest payable on any Interest Payment Date;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and interest on any Securities of the series shall be payable and the manner in which any payment may be made;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left="-460" w:firstLine="644"/>
        <w:spacing w:after="0" w:line="266" w:lineRule="auto"/>
        <w:tabs>
          <w:tab w:leader="none" w:pos="12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option, if any, to redeem or prepay the Securities of the series, in whole or in part, the period or periods within which, and the price or prices at which, such redemption or prepayment may occur, and the other terms and conditions of any such redemptions or prepayments;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1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if any, whether pursuant to a sinking fund or otherwise, to redeem, purchase, repurchase, or offer to purchase or repurchase, the Securities of the series, in whole or in part, the period or periods within which, and the price or prices at which, such redemption, purchase or repurchase must occur, and the other terms and conditions of any such redemptions, purchases and repurchases;</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10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and any integral multiple of $1,000 in excess thereof, the denominations in which any Securities of the series shall be issuable;</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9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0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of America, the currency, currencies, composite currency, composite currencies or currency units in which the principal of or any premium or interest on any Securities of the series shall be payable, or shall at the election of the Company or the Holder thereof be payable, and the manner of determining the equivalent thereof in the currency of the United States of America for any purpose, including for the purposes of making payment in the currency of the United States of America and applying the definition of “Outstanding” in Section 101, and, in the case of an election, the periods within which and the terms and conditions upon which such election is to be made and the amount so payable (or the manner in which such amount shall be determined);</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9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thereof, the portion of the principal amount of any Securities of the series that shall be payable upon acceleration of the Maturity thereof pursuant to Section 502;</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0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Securities of the series will not be determinable as of any one or more dates prior to the Stated Maturity, the amount that shall be deemed to be the principal amount of such Securities as of any such date for any purpose thereunder or hereunder, including the principal amount thereof that shall be due and payable upon any Maturity other than the Stated Maturity or that shall be deemed to be Outstanding as of any date prior to the Stated Maturity (or, in any such case, the manner in which such amount deemed to be the principal amount shall be determined);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0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the Securities of the series, in whole or any specified part, shall not be defeasible pursuant to Section 1302 or Section 1303 or both such Sections, and, if such Securities may be defeased, in whole or in part, pursuant to either or both such Sections, any provisions to permit a pledge of obligations other than U.S. Government Obligations (or the establishment of other arrangements) to satisfy the requirements of Section 1304(1) for defeasance of such Securities and, if other than by a Board Resolution, the manner in which any election by the Company to defease such Securities shall be evidenced;</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4" w:name="page35"/>
    <w:bookmarkEnd w:id="34"/>
    <w:p>
      <w:pPr>
        <w:jc w:val="both"/>
        <w:ind w:firstLine="644"/>
        <w:spacing w:after="0" w:line="256" w:lineRule="auto"/>
        <w:tabs>
          <w:tab w:leader="none" w:pos="14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any Securities of the series shall be issuable in whole or in part in the form of one or more Global Securities and, in such case, the respective Depositaries for such Global Securities, the form of any legend or legends that shall be borne by any such Global Security in addition to or in lieu of that set forth in Section 204, any addition to, elimination of or other change in the circumstances set forth in Clause (2) of the penultimate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 and any other provisions governing exchanges or transfers of any such Global Security;</w:t>
      </w:r>
    </w:p>
    <w:p>
      <w:pPr>
        <w:spacing w:after="0" w:line="187" w:lineRule="exact"/>
        <w:rPr>
          <w:rFonts w:ascii="Times New Roman" w:cs="Times New Roman" w:eastAsia="Times New Roman" w:hAnsi="Times New Roman"/>
          <w:sz w:val="18"/>
          <w:szCs w:val="18"/>
          <w:color w:val="auto"/>
        </w:rPr>
      </w:pPr>
    </w:p>
    <w:p>
      <w:pPr>
        <w:jc w:val="both"/>
        <w:ind w:firstLine="644"/>
        <w:spacing w:after="0" w:line="266" w:lineRule="auto"/>
        <w:tabs>
          <w:tab w:leader="none" w:pos="14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elimination of or other change in the Events of Default that apply to any Securities of the series, any changes in the applicable notice or cure periods (which may be no period), and any change in the right of the Trustee or the requisite Holders of such Securities to declare the principal amount thereof due and payable pursuant to Section 502, or the automatic acceleration of such principal amount;</w:t>
      </w:r>
    </w:p>
    <w:p>
      <w:pPr>
        <w:spacing w:after="0" w:line="175" w:lineRule="exact"/>
        <w:rPr>
          <w:rFonts w:ascii="Times New Roman" w:cs="Times New Roman" w:eastAsia="Times New Roman" w:hAnsi="Times New Roman"/>
          <w:sz w:val="18"/>
          <w:szCs w:val="18"/>
          <w:color w:val="auto"/>
        </w:rPr>
      </w:pPr>
    </w:p>
    <w:p>
      <w:pPr>
        <w:ind w:left="1440" w:hanging="796"/>
        <w:spacing w:after="0"/>
        <w:tabs>
          <w:tab w:leader="none" w:pos="1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elimination of or other change in the covenants set forth in Article X that applies to Securities of the series;</w:t>
      </w:r>
    </w:p>
    <w:p>
      <w:pPr>
        <w:spacing w:after="0" w:line="225" w:lineRule="exact"/>
        <w:rPr>
          <w:rFonts w:ascii="Times New Roman" w:cs="Times New Roman" w:eastAsia="Times New Roman" w:hAnsi="Times New Roman"/>
          <w:sz w:val="18"/>
          <w:szCs w:val="18"/>
          <w:color w:val="auto"/>
        </w:rPr>
      </w:pPr>
    </w:p>
    <w:p>
      <w:pPr>
        <w:ind w:firstLine="644"/>
        <w:spacing w:after="0" w:line="282" w:lineRule="auto"/>
        <w:tabs>
          <w:tab w:leader="none" w:pos="14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Persons other than those specified in Section 111 shall have such benefits, rights, remedies and claims with respect to any Securities of the series or under this Indenture with respect to such Securities, as and to the extent provided for such Securities;</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actions permitted or required under this Indenture to be taken by or on behalf of the Holders of the Securities of the series, including any such change that permits or requires any or all such actions to be taken by or on behalf of the Holders of any specific Securities of the series rather than or in addition to the Holders of all Securities of the series;</w:t>
      </w:r>
    </w:p>
    <w:p>
      <w:pPr>
        <w:spacing w:after="0" w:line="175" w:lineRule="exact"/>
        <w:rPr>
          <w:rFonts w:ascii="Times New Roman" w:cs="Times New Roman" w:eastAsia="Times New Roman" w:hAnsi="Times New Roman"/>
          <w:sz w:val="18"/>
          <w:szCs w:val="18"/>
          <w:color w:val="auto"/>
        </w:rPr>
      </w:pPr>
    </w:p>
    <w:p>
      <w:pPr>
        <w:ind w:left="1520" w:hanging="876"/>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subordination of any Securities of the series to other obligations of the Company (including Securities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series);</w:t>
      </w:r>
    </w:p>
    <w:p>
      <w:pPr>
        <w:spacing w:after="0" w:line="206" w:lineRule="exact"/>
        <w:rPr>
          <w:rFonts w:ascii="Times New Roman" w:cs="Times New Roman" w:eastAsia="Times New Roman" w:hAnsi="Times New Roman"/>
          <w:sz w:val="18"/>
          <w:szCs w:val="18"/>
          <w:color w:val="auto"/>
        </w:rPr>
      </w:pPr>
    </w:p>
    <w:p>
      <w:pPr>
        <w:ind w:firstLine="644"/>
        <w:spacing w:after="0" w:line="282" w:lineRule="auto"/>
        <w:tabs>
          <w:tab w:leader="none" w:pos="16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 of principal of and premium, if any, and interest, if any, on the Securities of the series shall be without deduction for taxes, assessments or governmental charges paid by Holders of the series;</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15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as applicable, that the Securities of the series shall be issuable in whole or in part in the form of one or more Global Securities and, in such case, the Depositary or Depositaries for such Global Security or Global Securities and any circumstances other than those set forth in Section 305 in which any such Global Security may be transferred to, and registered and exchanged for Securities registered in the name of, a Person other than the Depositary for such Global Security or a nominee thereof and in which any such transfer may be registered;</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jc w:val="both"/>
        <w:ind w:left="660" w:firstLine="644"/>
        <w:spacing w:after="0" w:line="266" w:lineRule="auto"/>
        <w:tabs>
          <w:tab w:leader="none" w:pos="22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pay additional amounts on the Securities of the series held by a Person who is not a “U.S. Person” or otherwise has a specified status in respect of any tax, assessment or governmental charge withheld or deducted and, if so, whether the Company will have the option to redeem the Securities of the series rather than pay such additional amounts;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3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2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to be convertible into or exchangeable for common stock or any other security or property, including, without limitation, securities of another Person held by the Company or its Affiliates, and, if so, the terms thereof;</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necessary to permit or facilitate the issuance, payment or conversion of any Securities of the series that may be converted into securities or other property other than Securities of the same series and of like tenor, whether in addition to, or in lieu of, any payment of principal or other amount and whether at the option of the Company or otherwise;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will be guaranteed, and, if so, the terms and conditions of such Guarantees, if such terms differ from those set forth in Section 1401, and the names of, or the method of determination or identification of, the Guarantors; and any deletions from, or modifications or additions to, the provisions of Article XIV or any other provisions of this Indenture in connection with the Guarantees of the Securities of the series;</w:t>
      </w:r>
    </w:p>
    <w:p>
      <w:pPr>
        <w:spacing w:after="0" w:line="179"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the initial Security Registrar and any initial Paying Agent; and</w:t>
      </w:r>
    </w:p>
    <w:p>
      <w:pPr>
        <w:spacing w:after="0" w:line="225"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(which terms shall not be inconsistent with the provisions of this Indenture, except as permitted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Section 901(5)).</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Securities of the series are to be guaranteed by any Guarantor pursuant to Article XIV, there shall be established in or pursuant to a Guarantor’s Board Resolution of such Guarantor and, subject to Section 303, set forth, or determined in the manner provided, in a Guarantor’s Officer’s Certificate of such Guarantor, or established in one or more indentures supplemental hereto, prior to the issuance of Securities of the series, the terms of the Guarantee by such Guarantor with respect to the Securities of the series, if such terms differ from those set forth in Section 1401.</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 All Securities of any one series need not be issued at the same time and, unless otherwise provided pursuant to this Section 301 for any series, after issuance of Securities of such series, such series may be reopened for issuances of additional Securities of that series.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of any Security of a series may differ from the terms of other Securities of the same series, if and to the extent provided pursuant to this Section 301. The matters referenced in any or all of Clauses (1) through (30) above may be established and set forth or determined as aforesaid with respect to all or any specific Securities of a series (in each case to the extent permitted by the Trust Indenture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of the terms of the Guarantee by any Guarantor of the Securities of the series are established by action taken pursuant to a Guarantor’s Board Resolution of such Guarantor, a copy of an appropriate record of such action shall be certified by the Secretary or an Assistant Secretary of such Guarantor and delivered to the Trustee at or prior to the delivery of the Guarantor’s Officer’s Certificate of such Guarantor setting forth the terms of such Guarantee.</w:t>
      </w:r>
    </w:p>
    <w:p>
      <w:pPr>
        <w:spacing w:after="0" w:line="180" w:lineRule="exact"/>
        <w:rPr>
          <w:sz w:val="20"/>
          <w:szCs w:val="20"/>
          <w:color w:val="auto"/>
        </w:rPr>
      </w:pPr>
    </w:p>
    <w:p>
      <w:pPr>
        <w:jc w:val="both"/>
        <w:ind w:left="15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$2,000 and any integral multiple of $1,000 in excess thereof.</w:t>
      </w:r>
    </w:p>
    <w:p>
      <w:pPr>
        <w:spacing w:after="0" w:line="180" w:lineRule="exact"/>
        <w:rPr>
          <w:sz w:val="20"/>
          <w:szCs w:val="20"/>
          <w:color w:val="auto"/>
        </w:rPr>
      </w:pPr>
    </w:p>
    <w:p>
      <w:pPr>
        <w:jc w:val="both"/>
        <w:ind w:left="15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 The Securities shall be executed on behalf of the Company by its Chairman of the Board, Chief Executive Officer, Chief Financial Officer, Chief Accounting Officer, President, an Executive Vice President or a Vice President of the Company (or any other officer of the Company designated in writing by or pursuant to authority of the Board of Directors and delivered to the Trustee from time to time). The signature of any of these officers on the Securities may be manual or facsimile. If the terms of the Securities of any series provide that any notation of guarantee by any Guarantor is to be endorsed on or otherwise attached to, or made part of, Securities of any series, and if the terms of such Securities provide for the execution of such notation of guarantee by such Guarantor (it being understood and agreed that the terms of Securities of any series may, but need not, provide for the execution of any notation of guarantee by any Guarantor), such notation of guarantee shall be executed on behalf of such Guarantor by the Chairman of the Board, Chief Executive Officer, Chief Financial Officer, Chief Accounting Officer, President, an Executive Vice President or a Vice President of such Guarantor (or any other officer of such Guarantor designated in writing by or pursuant to authority of the Guarantor’s Board of Directors and delivered to the Trustee from time to time). The signature of any of these officers on any notation of guarantee may be manual or facsimile.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Securities bearing the manual or facsimile signature of an individual who was at any time the proper officer of the Company shall bind the Company and any Guarantor of such Securities, notwithstanding that such individual has ceased to hold such office prior to the authentication and delivery of such Securities or did not hold such office at the date of such Securities.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executed by the Company, together with, if the terms of such Securities provide for the endorsement thereon of any notations of guarantee by any Guarantor, such notations of guarantee endorsed hereon and, if such terms so provide, executed by such Guarantor, to the Trustee for authentication, together with a Company Order and, if any notation of guarantee by a Guarantor is to be endorsed on such Securities, a Guarantor Order of such Guarantor, for the authentication and delivery of such Securities with any such notations of guarantee endorsed thereon, and the Trustee in accordance with the Company Order shall authenticate and deliver such Securities with any such notations of guarantee endorsed thereon. If the form or terms of the Securities of the series have been established by or pursuant to one or more Board Resolutions or the form or terms of any notations of guarantee have been established by or pursuant to one or more Guarantor’s Board Resolutions of such Guarantor as permitted by Section 201 and Section 301, in authenticating such Securities with any such notations of guarantee endorsed thereon, and accepting the additional responsibilities under this Indenture in relation to such Securities, the Trustee shall be entitled to receive, and (subject to Section 601) shall be fully protected in relying upon, an Opinion of Counsel stating,</w:t>
      </w:r>
    </w:p>
    <w:p>
      <w:pPr>
        <w:spacing w:after="0" w:line="194" w:lineRule="exact"/>
        <w:rPr>
          <w:sz w:val="20"/>
          <w:szCs w:val="20"/>
          <w:color w:val="auto"/>
        </w:rPr>
      </w:pPr>
    </w:p>
    <w:p>
      <w:pPr>
        <w:jc w:val="both"/>
        <w:ind w:left="660" w:firstLine="644"/>
        <w:spacing w:after="0" w:line="266" w:lineRule="auto"/>
        <w:tabs>
          <w:tab w:leader="none" w:pos="23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form of such Securities or any notation of guarantee by any Guarantor endorsed thereon has been established by or pursuant to Board Resolution or Guarantor’s Board Resolution of such Guarantor, as permitted by Section 201, that such form has been established in conformity with the provisions of this Indenture;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such Securities or any notation of guarantee thereof by a Guarantor have been established by or pursuant to Board Resolution or Guarantor’s Board Resolution of such Guarantor as permitted by Section 301, that such terms have been established in conformity with the provisions of this Indenture;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3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when such Securities have been authenticated and delivered by the Trustee and issued by the Company in the manner and subject to any conditions specified in such Opinion of Counsel, such Securities and the Guarantee set forth in the Indenture will constitute valid and legally binding obligations of the Company or such Guarantor, respectively, enforceable in accordance with their terms, subject to bankruptcy, insolvency, fraudulent transfer, reorganization, moratorium and similar laws of general applicability relating to or affecting creditors’ rights and to general equity principles and subject to any limitation with respect to payments in currency other than U.S. dollars and other customary assumptions, exceptions, qualifications and limitations.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provisions of Section 301 and of the preceding paragraph, if all Securities of a series are not to be originally issued at one time, it shall not be necessary to deliver the Officer’s Certificate or Guarantor’s Officer’s Certificate otherwise required pursuant to Section 301 or the Company Order, any Guarantor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Security shall be dated the date of its authentication.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87" w:lineRule="exact"/>
        <w:rPr>
          <w:sz w:val="20"/>
          <w:szCs w:val="20"/>
          <w:color w:val="auto"/>
        </w:rPr>
      </w:pPr>
    </w:p>
    <w:p>
      <w:pPr>
        <w:jc w:val="both"/>
        <w:ind w:left="15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 Pending the preparation of definitive Securities of any series, the Company may execute, and upon Company Order and, if any notations of guarantee by a Guarantor are to be endorsed on such Securities, a Guarantor Order of such Guarantor,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 executing such Securities or notations of guarantee, respectively, may determine, as evidenced by such officer’s execution of such Securities or notations of guarantee, respectively.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and if applicable, the Guarantors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left="15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Registration, Registration of Transfer and Exchange</w:t>
      </w:r>
      <w:r>
        <w:rPr>
          <w:rFonts w:ascii="Times New Roman" w:cs="Times New Roman" w:eastAsia="Times New Roman" w:hAnsi="Times New Roman"/>
          <w:sz w:val="18"/>
          <w:szCs w:val="18"/>
          <w:color w:val="auto"/>
        </w:rPr>
        <w:t>. The Company shall cause to be kept at each office or agency of the Company designated as a Place of Payment pursuant to the first paragraph of Section 1002 a register (the register, maintained in each such office or agency of the Company designated as a Place of Payment, being herein sometimes collectively referred to as the “</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Securities and of transfers of Securities. The Trustee is hereby appointed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for the purpose of registering Securities and transfers of Securities as herein provided.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surrender for registration of transfer of any Security of a series at the office or agency of the Company in a Place of Payment for that series, the Company and, if applicable, the Guarantors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and, if applicable, the Guarantors shall execute, and the Trustee shall authenticate and deliver, the Securities, which the Holder making the exchange is entitled to receive.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Security presented or surrendered for registration of transfer or for exchange shall (if so required by the Company, any Guarantor or the Trustee) be duly endorsed, or be accompanied by a written instrument of transfer in form satisfactory to the Company and the Security Registrar duly executed, by the Holder thereof or his attorney duly authorized in writing.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Section 906 or Section 1107 not involving any transfer.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Securities of any series (or of any series and specified tenor) are to be redeemed in whole or in part, the Company shall not be required (A) to issue, register the transfer of or exchange any Securities of that series (or of that series and specified tenor, as the case may be) during a period beginning at the opening of business 15 days before the day of selection of any such Securities for redemption under Section 1103 and ending at the close of business on the day of such selection (or during such period as otherwise specified pursuant to Section 301 for such Securities), or (B) to register the transfer of or exchange any Security so selected for redemption in whole or in part, except the unredeemed portion of any Security being redeemed in part.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provisions of Clauses (1), (2), (3) and (4) below shall apply only to Global Securities:</w:t>
      </w:r>
    </w:p>
    <w:p>
      <w:pPr>
        <w:spacing w:after="0" w:line="225" w:lineRule="exact"/>
        <w:rPr>
          <w:sz w:val="20"/>
          <w:szCs w:val="20"/>
          <w:color w:val="auto"/>
        </w:rPr>
      </w:pPr>
    </w:p>
    <w:p>
      <w:pPr>
        <w:jc w:val="both"/>
        <w:ind w:firstLine="644"/>
        <w:spacing w:after="0" w:line="266" w:lineRule="auto"/>
        <w:tabs>
          <w:tab w:leader="none" w:pos="15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75" w:lineRule="exact"/>
        <w:rPr>
          <w:rFonts w:ascii="Times New Roman" w:cs="Times New Roman" w:eastAsia="Times New Roman" w:hAnsi="Times New Roman"/>
          <w:sz w:val="18"/>
          <w:szCs w:val="18"/>
          <w:color w:val="auto"/>
        </w:rPr>
      </w:pPr>
    </w:p>
    <w:p>
      <w:pPr>
        <w:jc w:val="both"/>
        <w:ind w:firstLine="644"/>
        <w:spacing w:after="0" w:line="253" w:lineRule="auto"/>
        <w:tabs>
          <w:tab w:leader="none" w:pos="15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Indenture, and subject to such applicable provisions, if any, as may be specified as contemplated by Section 301,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has notified the Company that it (i) is unwilling or unable to continue as Depositary for such Global Security or (ii) has ceased to be a clearing agency registered under the Exchange Act, or (B) the Company has executed and delivered to the Trustee a Company Order stating that such Global Security shall be exchanged in whole for Securities that are not Global Securities (in which case such exchange shall promptly be effected by the Trustee). If the Company receives a notice of the kind specified in Clause (A) above or has delivered a Company Order of the kind specified in Clause (B) above, it may, in its sole discretion, designate a successor Depositary for such Global Security within 90 days after receiving such notice or delivery of such order, as the case may be. If the Company designates a successor Depositary as aforesaid, such Global Security shall promptly be exchanged in whole for one or more other Global Securities registered in the name of the successor Depositary, whereupon such designated successor shall be the Depositary for such successor Global Security or Global Securities and the provisions of Clauses (1), (2), (3) and (4) of this provision shall continue to apply thereto.</w:t>
      </w:r>
    </w:p>
    <w:p>
      <w:pPr>
        <w:spacing w:after="0" w:line="189" w:lineRule="exact"/>
        <w:rPr>
          <w:rFonts w:ascii="Times New Roman" w:cs="Times New Roman" w:eastAsia="Times New Roman" w:hAnsi="Times New Roman"/>
          <w:sz w:val="18"/>
          <w:szCs w:val="18"/>
          <w:color w:val="auto"/>
        </w:rPr>
      </w:pPr>
    </w:p>
    <w:p>
      <w:pPr>
        <w:jc w:val="both"/>
        <w:ind w:firstLine="644"/>
        <w:spacing w:after="0" w:line="266" w:lineRule="auto"/>
        <w:tabs>
          <w:tab w:leader="none" w:pos="16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 above and to such applicable provisions, if any, as may be specified as contemplated by Section 301,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15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Security authenticated and delivered upon registration of transfer of, or in exchange for or in lieu of, a Global Security or any portion thereof, whether pursuant to this Section 305, Section 304, Section 306, Section 906 or Section 1107 or otherwise, shall be authenticated and delivered in the form of, and shall be, a Global Security, unless such Security is registered in the name of a Person other than the Depositary for such Global Security or a nominee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Person who takes or holds any beneficial interest in a Global Security agrees that:</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1" w:name="page42"/>
    <w:bookmarkEnd w:id="41"/>
    <w:p>
      <w:pPr>
        <w:ind w:left="660" w:firstLine="644"/>
        <w:spacing w:after="0" w:line="282" w:lineRule="auto"/>
        <w:tabs>
          <w:tab w:leader="none" w:pos="24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Trustee may deal with the Depositary as sole owner of the Global Security and as the authorized representative of such Person;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4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rights in the Global Security shall be exercised only through the Depositary and shall be limited to those established by law and agreement between such Person and the Depositary and/or direct and indirect participants of the Depositary;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4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and its participants make book-entry transfers of beneficial ownership among, and receive and transmit distributions of principal and interest on the Global Securities to, such Persons in accordance with the Applicable Procedures of the Depositary;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the Trustee nor any agent of the Company or the Trustee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76" w:lineRule="exact"/>
        <w:rPr>
          <w:sz w:val="20"/>
          <w:szCs w:val="20"/>
          <w:color w:val="auto"/>
        </w:rPr>
      </w:pPr>
    </w:p>
    <w:p>
      <w:pPr>
        <w:jc w:val="both"/>
        <w:ind w:left="15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Mutilated, Destroyed, Lost and Wrongfully Taken Securities</w:t>
      </w:r>
      <w:r>
        <w:rPr>
          <w:rFonts w:ascii="Times New Roman" w:cs="Times New Roman" w:eastAsia="Times New Roman" w:hAnsi="Times New Roman"/>
          <w:sz w:val="18"/>
          <w:szCs w:val="18"/>
          <w:color w:val="auto"/>
        </w:rPr>
        <w:t>. If (a) any mutilated Security is surrendered to the Trustee or (b) both (i) there shall be delivered to the Company and the Trustee (A) a claim by a Holder as to the destruction, loss or wrongful taking of any Security of such Holder and a request thereby for a new replacement Security of the same series, and (B) such indemnity bond as may be required by them to save each of them and any agent of either of them harmless and (ii) such other reasonable requirements as may be imposed by the Company as permitted by Section 8-405 of the Uniform Commercial Code have been satisfied, then, in the absence of notice to the Company or the Trustee that such Security has been acquired by a “protected purchaser” within the meaning of Section 8-405 of the Uniform Commercial Code, the Company, and, if applicable, the Guarantors, shall execute and upon its request the Trustee shall authenticate and deliver, in lieu of any such mutilated, destroyed, lost or wrongfully taken Security, a new Security of the same series and of like tenor and principal amount and bearing a number not contemporaneously Outstanding.</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wrongfully taken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issuance of any new Security under this Section 306,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306 in lieu of any destroyed, lost or wrongfully taken Security shall constitute an original additional contractual obligation of the Company, whether or not the destroyed, lost or wrongfully taken Security shall be at any time enforceable by anyone, and shall be entitled to all the benefits of this Indenture equally and proportionately with any and all other Securities of that series duly issued hereunder.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306 are exclusive and shall preclude (to the extent lawful) all other rights and remedies with respect to the replacement or payment of mutilated, destroyed, lost or wrongfully taken Securities.</w:t>
      </w:r>
    </w:p>
    <w:p>
      <w:pPr>
        <w:spacing w:after="0" w:line="162" w:lineRule="exact"/>
        <w:rPr>
          <w:sz w:val="20"/>
          <w:szCs w:val="20"/>
          <w:color w:val="auto"/>
        </w:rPr>
      </w:pPr>
    </w:p>
    <w:p>
      <w:pPr>
        <w:jc w:val="both"/>
        <w:ind w:left="15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Payment of Interest; Interest Rights Preserved</w:t>
      </w:r>
      <w:r>
        <w:rPr>
          <w:rFonts w:ascii="Times New Roman" w:cs="Times New Roman" w:eastAsia="Times New Roman" w:hAnsi="Times New Roman"/>
          <w:sz w:val="18"/>
          <w:szCs w:val="18"/>
          <w:color w:val="auto"/>
        </w:rPr>
        <w:t>. Except as otherwise provided as contemplated by Section 301 with respect to any Securities of a series, interest on any Security that is payable, and is punctually paid or duly provided for, on any Interest Payment Date shall be paid to the Person in whose name that Security (or one or more Predecessor Securities) is registered at the close of business on the Regular Record Date for such interest (or, if no business is conducted by the Trustee at its Corporate Trust Office on such date, at 5:00 P.M. New York City time on such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interest on any Security of any series that is payable, but is not punctually paid or duly provided for, on any Interest Payment Date (herein called “</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76" w:lineRule="exact"/>
        <w:rPr>
          <w:sz w:val="20"/>
          <w:szCs w:val="20"/>
          <w:color w:val="auto"/>
        </w:rPr>
      </w:pPr>
    </w:p>
    <w:p>
      <w:pPr>
        <w:jc w:val="both"/>
        <w:ind w:left="660" w:firstLine="644"/>
        <w:spacing w:after="0" w:line="268" w:lineRule="auto"/>
        <w:tabs>
          <w:tab w:leader="none" w:pos="2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elect to make payment of any Defaulted Interest payable on any Securities of a series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of such Securities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such Securities in the manner set forth in Section 106, not less than 10 days prior to such Special Record Date. Notice of the proposed payment of such Defaulted Interest and the Special Record Date therefor having been so given, such Defaulted Interest shall be paid to the Persons in whose names such Securities (or their respective Predecessor Securities) are registered at the close of business on such Special Record Date and shall no longer be payable pursuant to the following Clause (2).</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left="660" w:firstLine="644"/>
        <w:spacing w:after="0" w:line="261" w:lineRule="auto"/>
        <w:tabs>
          <w:tab w:leader="none" w:pos="23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of a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may otherwise be provided in this Section 307 or as contemplated in Section 301 with respect to any Securities of a series, the Person to whom interest shall be payable on any Security that first becomes payable on a day that is not an Interest Payment Date shall be the Holder of such Security on the day such interest is paid.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307,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case of any Security that is converted after any Regular Record Date and on or prior to the next succeeding Interest Payment Date (other than any Security whose Maturity is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one or more Predecessor Securities) is registered at the close of business on such Regular Record Date. Except as otherwise expressly provided in the immediately preceding sentence, in the case of any Security that is converted, interest whose Stated Maturity is after the date of conversion of such Security shall not be payable.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terms of any Security that may be converted may provide that the provisions of the immediately preceding paragraph do not apply, or apply with such additions, changes or omissions as may be provided thereby, to such Security.</w:t>
      </w:r>
    </w:p>
    <w:p>
      <w:pPr>
        <w:spacing w:after="0" w:line="162" w:lineRule="exact"/>
        <w:rPr>
          <w:sz w:val="20"/>
          <w:szCs w:val="20"/>
          <w:color w:val="auto"/>
        </w:rPr>
      </w:pPr>
    </w:p>
    <w:p>
      <w:pPr>
        <w:jc w:val="both"/>
        <w:ind w:left="15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Prior to due presentment of a Security for registration of transfer, the Company, any Guarantor and the Trustee and any agent of the Company, any Guarantor or the Trustee shall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any Guarantor, the Trustee nor any agent of the Company, any Guarantor or the Trustee shall be affected by notice to the contrary.</w:t>
      </w:r>
    </w:p>
    <w:p>
      <w:pPr>
        <w:spacing w:after="0" w:line="187" w:lineRule="exact"/>
        <w:rPr>
          <w:sz w:val="20"/>
          <w:szCs w:val="20"/>
          <w:color w:val="auto"/>
        </w:rPr>
      </w:pPr>
    </w:p>
    <w:p>
      <w:pPr>
        <w:jc w:val="both"/>
        <w:ind w:left="15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All Securities surrendered for payment, redemption, registration of transfer or exchange or conversion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309, except as expressly permitted by this Indenture. The Trustee shall dispose of all canceled Securities in accordance with its standard procedures and deliver a certificate of such disposition to the Company upon its written request therefor.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left="4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Except as otherwise specified as contemplated by Section 301 for Securities of any series, interest on the Securities of each series shall be computed on the basis of a 360-day year of twelve 30-day months.</w:t>
      </w:r>
    </w:p>
    <w:p>
      <w:pPr>
        <w:spacing w:after="0" w:line="162" w:lineRule="exact"/>
        <w:rPr>
          <w:sz w:val="20"/>
          <w:szCs w:val="20"/>
          <w:color w:val="auto"/>
        </w:rPr>
      </w:pPr>
    </w:p>
    <w:p>
      <w:pPr>
        <w:jc w:val="both"/>
        <w:ind w:left="4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The Company, in issuing the Securities may use “CUSIP” and “ISIN” numbers (if then generally in use), and, if so, the Trustee shall use “CUSIP” and “ISIN”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shall promptly notify the Trustee of any change in “CUSIP” or “ISIN” numbers.</w:t>
      </w:r>
    </w:p>
    <w:p>
      <w:pPr>
        <w:spacing w:after="0" w:line="1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07" w:lineRule="exact"/>
        <w:rPr>
          <w:sz w:val="20"/>
          <w:szCs w:val="20"/>
          <w:color w:val="auto"/>
        </w:rPr>
      </w:pPr>
    </w:p>
    <w:p>
      <w:pPr>
        <w:jc w:val="both"/>
        <w:ind w:left="4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This Indenture shall upon Company Request cease to be of further effect with respect to the Securities of any series and any Guarantees of such Securities (except as to any surviving rights of conversion, registration of transfer or exchange of any such Security expressly provided for herein or in the terms of such Security), and the Trustee, at the expense of the Company, shall execute proper instruments acknowledging satisfaction and discharge of this Indenture with respect to such Securities, when:</w:t>
      </w:r>
    </w:p>
    <w:p>
      <w:pPr>
        <w:spacing w:after="0" w:line="183" w:lineRule="exact"/>
        <w:rPr>
          <w:sz w:val="20"/>
          <w:szCs w:val="20"/>
          <w:color w:val="auto"/>
        </w:rPr>
      </w:pPr>
    </w:p>
    <w:p>
      <w:pPr>
        <w:ind w:left="1060" w:hanging="87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70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theretofore authenticated and delivered (other than (i) Securities that have been destroyed, lost or wrongfully taken and that have been replaced or paid as provided in Section 306 and (ii) Securities for the payment of which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5" w:name="page46"/>
    <w:bookmarkEnd w:id="45"/>
    <w:p>
      <w:pPr>
        <w:ind w:left="2820" w:hanging="868"/>
        <w:spacing w:after="0"/>
        <w:tabs>
          <w:tab w:leader="none" w:pos="2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not theretofore delivered to the Trustee for cancellation</w:t>
      </w:r>
    </w:p>
    <w:p>
      <w:pPr>
        <w:spacing w:after="0" w:line="225" w:lineRule="exact"/>
        <w:rPr>
          <w:rFonts w:ascii="Times New Roman" w:cs="Times New Roman" w:eastAsia="Times New Roman" w:hAnsi="Times New Roman"/>
          <w:sz w:val="18"/>
          <w:szCs w:val="18"/>
          <w:color w:val="auto"/>
        </w:rPr>
      </w:pPr>
    </w:p>
    <w:p>
      <w:pPr>
        <w:ind w:left="3540" w:hanging="940"/>
        <w:spacing w:after="0"/>
        <w:tabs>
          <w:tab w:leader="none" w:pos="3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3440" w:hanging="840"/>
        <w:spacing w:after="0"/>
        <w:tabs>
          <w:tab w:leader="none" w:pos="34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ind w:left="1960" w:firstLine="640"/>
        <w:spacing w:after="0" w:line="282" w:lineRule="auto"/>
        <w:tabs>
          <w:tab w:leader="none" w:pos="343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and the Company or a Guarantor, in the case of (i), (ii) or (iii) above, has deposited or caused to be deposited with the Trustee as trust funds in trust for such purpose money in an amount sufficient to pay and discharge the entire indebtedness on such Securities not theretofore delivered to the Trustee for cancellation, for principal and any premium and interest to the date of such deposit (in the case of Securities that have become due and payable) or to the Stated Maturity or Redemption Date, as the case may be;</w:t>
      </w:r>
    </w:p>
    <w:p>
      <w:pPr>
        <w:spacing w:after="0" w:line="180" w:lineRule="exact"/>
        <w:rPr>
          <w:sz w:val="20"/>
          <w:szCs w:val="20"/>
          <w:color w:val="auto"/>
        </w:rPr>
      </w:pPr>
    </w:p>
    <w:p>
      <w:pPr>
        <w:ind w:left="660" w:right="20" w:firstLine="644"/>
        <w:spacing w:after="0" w:line="282" w:lineRule="auto"/>
        <w:tabs>
          <w:tab w:leader="none" w:pos="22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(if any) have paid or caused to be paid all other sums payable hereunder by the Company and the Guarantors (if any) with respect to such Securities;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(which Opinion of Counsel may be subject to customary assumptions and exclusions), each stating that all conditions precedent herein relating to the satisfaction and discharge of this Indenture with respect to such Securities have been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with respect to Securities of any series, the obligations of the Company to the Trustee under Section 607, the obligations of the Trustee to any Authenticating Agent under Section 614, and, if money shall have been deposited with the Trustee pursuant to subclause (B) of Clause (1) of this Section 401 with respect to such Securities, the obligations of the Company of such series under Section 1002 and the obligations of the Trustee under Section 402, Section 606 and the last paragraph of Section 1003 with respect to such Securities shall survive such satisfaction and discharge.</w:t>
      </w:r>
    </w:p>
    <w:p>
      <w:pPr>
        <w:spacing w:after="0" w:line="183" w:lineRule="exact"/>
        <w:rPr>
          <w:sz w:val="20"/>
          <w:szCs w:val="20"/>
          <w:color w:val="auto"/>
        </w:rPr>
      </w:pPr>
    </w:p>
    <w:p>
      <w:pPr>
        <w:jc w:val="both"/>
        <w:ind w:left="15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 Subject to the provisions of the last paragraph of Section 1003, all money deposited with the Trustee pursuant to Section 401 with respect to Securities of any series shall be held in trust and applied by it, in accordance with the provisions of such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 All moneys deposited with the Trustee pursuant to Section 401 (and held by it or any Paying Agent) for the payment of Securities subsequently converted shall be returned to the Company upon Company Request, to the extent originally deposited by the Company. The Company may direct by a Company Order the investment of any money deposited with the Trustee pursuant to Section 401, without distinction between principal and income, in (1) U.S. Government Obligations with a maturity of one year or less or (2) a money market fund that invests solely in short-term U.S. Government Obligations and from time to time the Company may direct the reinvestment of all or a portion of such money in other securities or funds meeting the criteria specified in Clause (1) or (2) of this sentence.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40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07" w:lineRule="exact"/>
        <w:rPr>
          <w:sz w:val="20"/>
          <w:szCs w:val="20"/>
          <w:color w:val="auto"/>
        </w:rPr>
      </w:pPr>
    </w:p>
    <w:p>
      <w:pPr>
        <w:jc w:val="both"/>
        <w:ind w:left="4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Except as may otherwise be provided pursuant to Section 301 for all or any specific Securities of any series,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wherever used herein with respect to the Securities of that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3" w:lineRule="exact"/>
        <w:rPr>
          <w:sz w:val="20"/>
          <w:szCs w:val="20"/>
          <w:color w:val="auto"/>
        </w:rPr>
      </w:pPr>
    </w:p>
    <w:p>
      <w:pPr>
        <w:ind w:left="-460" w:firstLine="644"/>
        <w:spacing w:after="0" w:line="282" w:lineRule="auto"/>
        <w:tabs>
          <w:tab w:leader="none" w:pos="11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Security of that series when it becomes due and payable, and continuance of such default for a period of 30 days; or</w:t>
      </w:r>
    </w:p>
    <w:p>
      <w:pPr>
        <w:spacing w:after="0" w:line="161" w:lineRule="exact"/>
        <w:rPr>
          <w:rFonts w:ascii="Times New Roman" w:cs="Times New Roman" w:eastAsia="Times New Roman" w:hAnsi="Times New Roman"/>
          <w:sz w:val="18"/>
          <w:szCs w:val="18"/>
          <w:color w:val="auto"/>
        </w:rPr>
      </w:pPr>
    </w:p>
    <w:p>
      <w:pPr>
        <w:ind w:left="1060" w:hanging="876"/>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any premium on any Security of that series at its Maturity; or</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14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any Security of that series and continuance of such default for a period of 60 days; or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1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of the Company in this Indenture (other than a covenant a default in whose performance or whose breach is elsewhere in this Section 501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w:t>
      </w:r>
      <w:r>
        <w:rPr>
          <w:rFonts w:ascii="Times New Roman" w:cs="Times New Roman" w:eastAsia="Times New Roman" w:hAnsi="Times New Roman"/>
          <w:sz w:val="18"/>
          <w:szCs w:val="18"/>
          <w:b w:val="1"/>
          <w:bCs w:val="1"/>
          <w:i w:val="1"/>
          <w:iCs w:val="1"/>
          <w:color w:val="auto"/>
        </w:rPr>
        <w:t>Notice of Default</w:t>
      </w:r>
      <w:r>
        <w:rPr>
          <w:rFonts w:ascii="Times New Roman" w:cs="Times New Roman" w:eastAsia="Times New Roman" w:hAnsi="Times New Roman"/>
          <w:sz w:val="18"/>
          <w:szCs w:val="18"/>
          <w:color w:val="auto"/>
        </w:rPr>
        <w:t>” hereunder; or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1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(provided that, if any Person becomes the successor to the Company pursuant to Article VIII and such Person is a corporation, partnership, limited liability company or trust organized and validly existing under the law of a jurisdiction outside the United States, each reference in this Clause (5) to an applicable Federal or State law of a particular kind shall be deemed to refer to such law or any applicable comparable law of such non-U.S. jurisdiction, for as long as such Person is the successor to the Company hereunder and is so organized and existing); or</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7" w:name="page48"/>
    <w:bookmarkEnd w:id="47"/>
    <w:p>
      <w:pPr>
        <w:jc w:val="both"/>
        <w:ind w:left="-460" w:firstLine="644"/>
        <w:spacing w:after="0" w:line="253" w:lineRule="auto"/>
        <w:tabs>
          <w:tab w:leader="none" w:pos="12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(provided that, if any Person becomes the successor to the Company pursuant to Article VIII and such Person is a corporation, partnership, limited liability company or trust organized and validly existing under the law of a jurisdiction outside the United States, each reference in this Clause (6) to an applicable Federal or State law of a particular kind shall be deemed to refer to such law or any applicable comparable law of such non-U.S. jurisdiction, for as long as such Person is the successor to the Company hereunder and is so organized and existing); or</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0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Article XIV has been made applicable with respect to such Securities, any Guarantee of the Securities of such series by any Guarantor shall cease to be in full force and effect (except as contemplated by the terms of this Indenture) or is declared null and void in a judicial proceeding or the Guarantor denies or disaffirms its obligations under this Indenture or its Guarantee, in each case unless the Guarantee has been released pursuant to the terms of this Indenture; or</w:t>
      </w:r>
    </w:p>
    <w:p>
      <w:pPr>
        <w:spacing w:after="0" w:line="179" w:lineRule="exact"/>
        <w:rPr>
          <w:rFonts w:ascii="Times New Roman" w:cs="Times New Roman" w:eastAsia="Times New Roman" w:hAnsi="Times New Roman"/>
          <w:sz w:val="18"/>
          <w:szCs w:val="18"/>
          <w:color w:val="auto"/>
        </w:rPr>
      </w:pPr>
    </w:p>
    <w:p>
      <w:pPr>
        <w:ind w:left="1060" w:hanging="876"/>
        <w:spacing w:after="0"/>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in accordance with Section 301.</w:t>
      </w:r>
    </w:p>
    <w:p>
      <w:pPr>
        <w:spacing w:after="0" w:line="225" w:lineRule="exact"/>
        <w:rPr>
          <w:sz w:val="20"/>
          <w:szCs w:val="20"/>
          <w:color w:val="auto"/>
        </w:rPr>
      </w:pPr>
    </w:p>
    <w:p>
      <w:pPr>
        <w:jc w:val="both"/>
        <w:ind w:left="4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 Except as may otherwise be provided pursuant to Section 301 for all or any specific Securities of any series, if an Event of Default (other than an Event of Default specified in Section 501(5) or Section 501(6)) with respect to Securities of that series at the time Outstanding occurs and is continuing, then in every such case the Trustee or the Holders of not less than 25% in principal amount of the Outstanding Securities of that series may declare the principal amount of all the Securities of that series (or, in the case of any Security of that series which specifies an amount to be due and payable thereon upon acceleration of the Maturity thereof, such amount as may be specified by the terms thereof) to be due and payable immediately, by a notice in writing to the Company and any Guarantor of the Securities of that series (and to the Trustee if given by Holders), and upon any such declaration such principal amount (or specified amount), together with any accrued and unpaid interest thereon, shall become immediately due and payable. Except as may otherwise be provided pursuant to Section 301 for all or any specific Securities of any series, if an Event of Default specified in Section 501(5) or Section 501(6) with respect to Securities of that series at the time Outstanding occurs, the principal amount of all the Securities of that series (or, in the case of any Security of that series which specifies an amount to be due and payable thereon upon acceleration of the Maturity thereof, such amount as may be specified by the terms thereof), together with any premium thereon and accrued and unpaid interest thereon, shall automatically, and without any declaration or other action on the part of the Trustee or any Holder, become immediately due and payable.</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8" w:name="page49"/>
    <w:bookmarkEnd w:id="4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may otherwise be provided pursuant to Section 301 for all or any specific Securities of any series, at any time after such a declaration of acceleration with respect to Securities of that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any Guarantor of the Securities of that series and the Trustee, may rescind and annul such declaration and its consequences if</w:t>
      </w:r>
    </w:p>
    <w:p>
      <w:pPr>
        <w:spacing w:after="0" w:line="180" w:lineRule="exact"/>
        <w:rPr>
          <w:sz w:val="20"/>
          <w:szCs w:val="20"/>
          <w:color w:val="auto"/>
        </w:rPr>
      </w:pPr>
    </w:p>
    <w:p>
      <w:pPr>
        <w:ind w:left="2180" w:hanging="876"/>
        <w:spacing w:after="0"/>
        <w:tabs>
          <w:tab w:leader="none" w:pos="2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such Guarantor has paid or deposited with the Trustee a sum sufficient to pay</w:t>
      </w:r>
    </w:p>
    <w:p>
      <w:pPr>
        <w:spacing w:after="0" w:line="225"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on all Securities of that series,</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93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97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or rates prescribed therefor in such Securities, and</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8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2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other than the non-payment of the principal of Securities of that series which has become due solely by such declaration of acceleration, have been cured or waived as provided in Section 513.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2200"/>
        <w:spacing w:after="0"/>
        <w:tabs>
          <w:tab w:leader="none" w:pos="348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u w:val="single" w:color="auto"/>
          <w:color w:val="auto"/>
        </w:rPr>
        <w:t>Collection of Indebtedness and Suits for Enforcement by Trustee</w:t>
      </w:r>
      <w:r>
        <w:rPr>
          <w:rFonts w:ascii="Times New Roman" w:cs="Times New Roman" w:eastAsia="Times New Roman" w:hAnsi="Times New Roman"/>
          <w:sz w:val="17"/>
          <w:szCs w:val="17"/>
          <w:color w:val="auto"/>
        </w:rPr>
        <w:t>. The Company covenants that if</w:t>
      </w:r>
    </w:p>
    <w:p>
      <w:pPr>
        <w:spacing w:after="0" w:line="225" w:lineRule="exact"/>
        <w:rPr>
          <w:sz w:val="20"/>
          <w:szCs w:val="20"/>
          <w:color w:val="auto"/>
        </w:rPr>
      </w:pPr>
    </w:p>
    <w:p>
      <w:pPr>
        <w:ind w:left="660" w:right="20" w:firstLine="644"/>
        <w:spacing w:after="0" w:line="282" w:lineRule="auto"/>
        <w:tabs>
          <w:tab w:leader="none" w:pos="22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60 days, or</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if any, on) any Security at the Maturity thereof,</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jc w:val="both"/>
        <w:ind w:left="15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 In case of any judicial proceeding relative to the Company, any Guarantor or any other obligor upon the Securities, their property or their creditors, the Trustee shall be entitled and empowered, by intervention in such proceeding or otherwise, to take any and all actions authorized under the Trust Indenture Act in order to have claims of the Holders and the Trustee allowed in any such proceeding.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provision of this Indenture shall be deemed to authorize the Trustee to authorize or consent to or accept or adopt on behalf of any Holder any plan of reorganization, arrangement, adjustment or composition affecting the Securities or any Guarantee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left="15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 All rights of action and claims under this Indenture or the Securities or any Guarantee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7" w:lineRule="exact"/>
        <w:rPr>
          <w:sz w:val="20"/>
          <w:szCs w:val="20"/>
          <w:color w:val="auto"/>
        </w:rPr>
      </w:pPr>
    </w:p>
    <w:p>
      <w:pPr>
        <w:jc w:val="both"/>
        <w:ind w:left="15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 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607;</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THIRD: To the payment of the remainder, if any, to the Company, any Guarantor or to whomsoever may be lawfully entitled to receive the same as a court of competent jurisdiction may direct.</w:t>
      </w:r>
    </w:p>
    <w:p>
      <w:pPr>
        <w:spacing w:after="0" w:line="162" w:lineRule="exact"/>
        <w:rPr>
          <w:sz w:val="20"/>
          <w:szCs w:val="20"/>
          <w:color w:val="auto"/>
        </w:rPr>
      </w:pPr>
    </w:p>
    <w:p>
      <w:pPr>
        <w:jc w:val="both"/>
        <w:ind w:left="15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Except pursuant to Section 508, no Holder of any Security of any series shall have any right to institute any proceeding, judicial or otherwise, with respect to this Indenture, or for the appointment of a receiver or trustee, or for any other remedy hereunder, unless</w:t>
      </w:r>
    </w:p>
    <w:p>
      <w:pPr>
        <w:spacing w:after="0" w:line="176" w:lineRule="exact"/>
        <w:rPr>
          <w:sz w:val="20"/>
          <w:szCs w:val="20"/>
          <w:color w:val="auto"/>
        </w:rPr>
      </w:pPr>
    </w:p>
    <w:p>
      <w:pPr>
        <w:ind w:left="2220" w:hanging="916"/>
        <w:spacing w:after="0"/>
        <w:tabs>
          <w:tab w:leader="none" w:pos="2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that series;</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23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3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reasonably satisfactory to it against any costs, expenses and liabilities to be incurred in compliance with such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2300" w:hanging="996"/>
        <w:spacing w:after="0"/>
        <w:tabs>
          <w:tab w:leader="none" w:pos="2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proceeding; and</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22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0" w:lineRule="exact"/>
        <w:rPr>
          <w:sz w:val="20"/>
          <w:szCs w:val="20"/>
          <w:color w:val="auto"/>
        </w:rPr>
      </w:pPr>
    </w:p>
    <w:p>
      <w:pPr>
        <w:ind w:left="2200"/>
        <w:spacing w:after="0"/>
        <w:tabs>
          <w:tab w:leader="none" w:pos="4020" w:val="left"/>
        </w:tabs>
        <w:rPr>
          <w:sz w:val="20"/>
          <w:szCs w:val="20"/>
          <w:color w:val="auto"/>
        </w:rPr>
      </w:pPr>
      <w:r>
        <w:rPr>
          <w:rFonts w:ascii="Times New Roman" w:cs="Times New Roman" w:eastAsia="Times New Roman" w:hAnsi="Times New Roman"/>
          <w:sz w:val="18"/>
          <w:szCs w:val="18"/>
          <w:color w:val="auto"/>
        </w:rPr>
        <w:t>Section 508</w:t>
      </w:r>
      <w:r>
        <w:rPr>
          <w:sz w:val="20"/>
          <w:szCs w:val="20"/>
          <w:color w:val="auto"/>
        </w:rPr>
        <w:tab/>
      </w:r>
      <w:r>
        <w:rPr>
          <w:rFonts w:ascii="Times New Roman" w:cs="Times New Roman" w:eastAsia="Times New Roman" w:hAnsi="Times New Roman"/>
          <w:sz w:val="18"/>
          <w:szCs w:val="18"/>
          <w:u w:val="single" w:color="auto"/>
          <w:color w:val="auto"/>
        </w:rPr>
        <w:t>Unconditional Right of Holders to Receive Principal, Premium and Interest and to Convert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1540"/>
        <w:spacing w:after="0" w:line="253"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on the Redemption Date), and, if the terms of such Security so provide, to convert such Security in accordance with its terms, and to institute suit for the enforcement of any such payment and, if applicable, any such right to convert, and such rights shall not be impaired without the consent of such Holder.</w:t>
      </w:r>
    </w:p>
    <w:p>
      <w:pPr>
        <w:spacing w:after="0" w:line="187" w:lineRule="exact"/>
        <w:rPr>
          <w:sz w:val="20"/>
          <w:szCs w:val="20"/>
          <w:color w:val="auto"/>
        </w:rPr>
      </w:pPr>
    </w:p>
    <w:p>
      <w:pPr>
        <w:jc w:val="both"/>
        <w:ind w:left="15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any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00" w:lineRule="exact"/>
        <w:rPr>
          <w:sz w:val="20"/>
          <w:szCs w:val="20"/>
          <w:color w:val="auto"/>
        </w:rPr>
      </w:pPr>
    </w:p>
    <w:p>
      <w:pPr>
        <w:spacing w:after="0" w:line="204" w:lineRule="exact"/>
        <w:rPr>
          <w:sz w:val="20"/>
          <w:szCs w:val="20"/>
          <w:color w:val="auto"/>
        </w:rPr>
      </w:pPr>
    </w:p>
    <w:p>
      <w:pPr>
        <w:jc w:val="both"/>
        <w:ind w:left="15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Except as otherwise provided with respect to the replacement or payment of mutilated, destroyed, lost or wrongfully taken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7" w:lineRule="exact"/>
        <w:rPr>
          <w:sz w:val="20"/>
          <w:szCs w:val="20"/>
          <w:color w:val="auto"/>
        </w:rPr>
      </w:pPr>
    </w:p>
    <w:p>
      <w:pPr>
        <w:jc w:val="both"/>
        <w:ind w:left="15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left="15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 The Holders of a majority in principal amount of the Outstanding Securities of any series shall have the right to direct the time, method and place of conducting any proceeding for any remedy available to the Trustee, or of exercising any trust or power conferred on the Trustee, with respect to the Securities of such series, provided that</w:t>
      </w:r>
    </w:p>
    <w:p>
      <w:pPr>
        <w:spacing w:after="0" w:line="176" w:lineRule="exact"/>
        <w:rPr>
          <w:sz w:val="20"/>
          <w:szCs w:val="20"/>
          <w:color w:val="auto"/>
        </w:rPr>
      </w:pPr>
    </w:p>
    <w:p>
      <w:pPr>
        <w:ind w:left="2180" w:hanging="876"/>
        <w:spacing w:after="0"/>
        <w:tabs>
          <w:tab w:leader="none" w:pos="2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601, the Trustee shall have the right to decline to follow any such direction if the Trustee in good faith shall determine that the proceeding so directed would involve the Trustee in personal liability.</w:t>
      </w:r>
    </w:p>
    <w:p>
      <w:pPr>
        <w:spacing w:after="0" w:line="162" w:lineRule="exact"/>
        <w:rPr>
          <w:sz w:val="20"/>
          <w:szCs w:val="20"/>
          <w:color w:val="auto"/>
        </w:rPr>
      </w:pPr>
    </w:p>
    <w:p>
      <w:pPr>
        <w:jc w:val="both"/>
        <w:ind w:left="15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 Except as may otherwise be provided pursuant to Section 301 for all or any specific Securities of any series, the Holders of not less than a majority in principal amount (including waivers obtained in connection with a purchase of, or tender offer or exchange offer for, Securities) of the Outstanding Securities of any series to be affected under this Indenture may on behalf of the Holders of all the Securities of such series waive any past default hereunder with respect to such series and its consequences, except a default</w:t>
      </w:r>
    </w:p>
    <w:p>
      <w:pPr>
        <w:spacing w:after="0" w:line="183" w:lineRule="exact"/>
        <w:rPr>
          <w:sz w:val="20"/>
          <w:szCs w:val="20"/>
          <w:color w:val="auto"/>
        </w:rPr>
      </w:pPr>
    </w:p>
    <w:p>
      <w:pPr>
        <w:ind w:left="2180" w:hanging="876"/>
        <w:spacing w:after="0"/>
        <w:tabs>
          <w:tab w:leader="none" w:pos="2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any premium or interest on any Security of such series, or</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2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which under Article IX cannot be modified or amended without the consent of the Holder of each Outstanding Security of such series affected.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any such waiver with respect to any series, such default shall cease to exist, and any Event of Default arising therefrom shall be deemed to have been cured, with respect to such series for every purpose of this Indenture; but no such waiver shall extend to any subsequent or other default or impair any right consequent thereon. A waiver of any past default and its consequences given by or on behalf of any Holder of Securities in connection with a purchase of, or tender or exchange offer for, such Holder’s Securities will not be rendered invalid by such purchase, tender or exchange.</w:t>
      </w:r>
    </w:p>
    <w:p>
      <w:pPr>
        <w:spacing w:after="0" w:line="180" w:lineRule="exact"/>
        <w:rPr>
          <w:sz w:val="20"/>
          <w:szCs w:val="20"/>
          <w:color w:val="auto"/>
        </w:rPr>
      </w:pPr>
    </w:p>
    <w:p>
      <w:pPr>
        <w:jc w:val="both"/>
        <w:ind w:left="15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 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including reasonable attorneys’ fees and expenses, against any such party litigant, in the manner and to the extent provided in the Trust Indenture Act; provided that neither this Section 514 nor the Trust Indenture Act shall be deemed to authorize any court to require such an undertaking or to make such an assessment in any suit instituted by the Company, any Guarantor or the Trustee or, if applicable, in any suit for the enforcement of the right to convert any Security in accordance with its terms.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left="8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Waiver of Usury, Stay or Extension Laws</w:t>
      </w:r>
      <w:r>
        <w:rPr>
          <w:rFonts w:ascii="Times New Roman" w:cs="Times New Roman" w:eastAsia="Times New Roman" w:hAnsi="Times New Roman"/>
          <w:sz w:val="18"/>
          <w:szCs w:val="18"/>
          <w:color w:val="auto"/>
        </w:rPr>
        <w:t>. The Company and each Guarantor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and each Guarantor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7" w:lineRule="exact"/>
        <w:rPr>
          <w:sz w:val="20"/>
          <w:szCs w:val="20"/>
          <w:color w:val="auto"/>
        </w:rPr>
      </w:pPr>
    </w:p>
    <w:p>
      <w:pPr>
        <w:ind w:left="1540"/>
        <w:spacing w:after="0"/>
        <w:tabs>
          <w:tab w:leader="none" w:pos="282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u w:val="single" w:color="auto"/>
          <w:color w:val="auto"/>
        </w:rPr>
        <w:t>Certain Duties and Responsibilities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520" w:hanging="876"/>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217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as are provided by the Trust Indenture Act, and no implied covenants or obligations shall be read into this Indenture against the Trustee; and</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221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in good faith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15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4" w:name="page55"/>
    <w:bookmarkEnd w:id="54"/>
    <w:p>
      <w:pPr>
        <w:ind w:left="-460" w:firstLine="644"/>
        <w:spacing w:after="0" w:line="282" w:lineRule="auto"/>
        <w:tabs>
          <w:tab w:leader="none" w:pos="12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1660" w:hanging="828"/>
        <w:spacing w:after="0"/>
        <w:tabs>
          <w:tab w:leader="none" w:pos="1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the first paragraph of this Section 601;</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73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200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determined as provided in Section 512, relating to the time, method and place of conducting any proceeding for any remedy available to the Trustee, or exercising any trust or power conferred upon the Trustee, under this Indenture with respect to the Securities of such series; and</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90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 601.</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2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incur any liability. The Trustee shall be under no obligation to exercise any of the rights or powers vested in it by this Indenture at the request or direction of any of the Holders unless such Holders shall have offered to the Trustee security or indemnity reasonably satisfactory to it against the costs, expenses and liabilities that might be incurred by it in compliance with such request or direction.</w:t>
      </w:r>
    </w:p>
    <w:p>
      <w:pPr>
        <w:spacing w:after="0" w:line="180" w:lineRule="exact"/>
        <w:rPr>
          <w:sz w:val="20"/>
          <w:szCs w:val="20"/>
          <w:color w:val="auto"/>
        </w:rPr>
      </w:pPr>
    </w:p>
    <w:p>
      <w:pPr>
        <w:jc w:val="both"/>
        <w:ind w:left="4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If a default or Event of Default occurs and is continuing hereunder with respect to Securities of any series, and if it is known to the Trustee, the Trustee shall mail or otherwise send to the Holders of Securities of such series notice of such default or Event of default within 90 days after the Trustee gains knowledge of the default or Event of Default unless such default or Event of Default shall have been cured or waived before the giving of such notice. Except in the case of a default or Event of Default in payment of principal of, premium or interest on Securities of any series, the Trustee may withhold the notice if and so long as a committee of its Responsible Officers in good faith determines that withholding the notice is in the interests of the Holders of the Securities of such series. For the purpose of this Section 602, Section 603 and Section 1005, the term “</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means, with respect to Securities of any series, any event which is, or after notice or lapse of time or both would become, an Event of Default with respect to Securities of such series.</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5" w:name="page56"/>
    <w:bookmarkEnd w:id="55"/>
    <w:p>
      <w:pPr>
        <w:ind w:left="108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u w:val="single" w:color="auto"/>
          <w:color w:val="auto"/>
        </w:rPr>
        <w:t>Certain Rights of Trustee</w:t>
      </w:r>
      <w:r>
        <w:rPr>
          <w:rFonts w:ascii="Times New Roman" w:cs="Times New Roman" w:eastAsia="Times New Roman" w:hAnsi="Times New Roman"/>
          <w:sz w:val="17"/>
          <w:szCs w:val="17"/>
          <w:color w:val="auto"/>
        </w:rPr>
        <w:t>. Subject to the provisions of Section 601:</w:t>
      </w:r>
    </w:p>
    <w:p>
      <w:pPr>
        <w:spacing w:after="0" w:line="225" w:lineRule="exact"/>
        <w:rPr>
          <w:sz w:val="20"/>
          <w:szCs w:val="20"/>
          <w:color w:val="auto"/>
        </w:rPr>
      </w:pPr>
    </w:p>
    <w:p>
      <w:pPr>
        <w:jc w:val="both"/>
        <w:ind w:left="-460" w:firstLine="644"/>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3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and any request or direction of a Guarantor mentioned herein shall be sufficiently evidenced by a Guarantor Request or Guarantor Order of such Guarantor, and any resolution of the Board of Directors shall be sufficiently evidenced by a Board Resolution and any resolution of a Guarantor’s Board of Directors may be sufficiently evidenced by a Guarantor’s Board Resolution;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2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shall be entitled to receive and may, in the absence of bad faith on its part, conclusively rely upon, and shall not be liable for any action it takes or omits to take in good faith in reliance upon, an Officer’s Certificate or, if such matter relates to a Guarantor, a Guarantor’s Officer’s Certificate of such Guarantor or an Opinion of Counsel;</w:t>
      </w:r>
    </w:p>
    <w:p>
      <w:pPr>
        <w:spacing w:after="0" w:line="183"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0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it against the costs, expenses and liabilities that might be incurred by it in compliance with such request or direction;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3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and, if applicable, the Guarantors, personally or by agent or attorney at the sole cost of the Company and shall incur no liability or additional liability of any kind by reason of such inquiry or investigation;</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6" w:name="page57"/>
    <w:bookmarkEnd w:id="56"/>
    <w:p>
      <w:pPr>
        <w:jc w:val="both"/>
        <w:ind w:left="-460" w:firstLine="644"/>
        <w:spacing w:after="0" w:line="266" w:lineRule="auto"/>
        <w:tabs>
          <w:tab w:leader="none" w:pos="130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 shall not be responsible for the supervision of officers and employees of such agents or attorneys;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1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10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to be taken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0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1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its rights to be indemnified, are extended to, and shall be enforceable by, the Trustee in each of its capacities hereunder, and to each agent, custodian and other Person employed to act hereunder; and</w:t>
      </w:r>
    </w:p>
    <w:p>
      <w:pPr>
        <w:spacing w:after="0" w:line="175" w:lineRule="exact"/>
        <w:rPr>
          <w:rFonts w:ascii="Times New Roman" w:cs="Times New Roman" w:eastAsia="Times New Roman" w:hAnsi="Times New Roman"/>
          <w:sz w:val="18"/>
          <w:szCs w:val="18"/>
          <w:color w:val="auto"/>
        </w:rPr>
      </w:pPr>
    </w:p>
    <w:p>
      <w:pPr>
        <w:ind w:left="980" w:hanging="79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provide bond or other security with respect to the performance of its duties and powers.</w:t>
      </w:r>
    </w:p>
    <w:p>
      <w:pPr>
        <w:spacing w:after="0" w:line="225" w:lineRule="exact"/>
        <w:rPr>
          <w:sz w:val="20"/>
          <w:szCs w:val="20"/>
          <w:color w:val="auto"/>
        </w:rPr>
      </w:pPr>
    </w:p>
    <w:p>
      <w:pPr>
        <w:jc w:val="both"/>
        <w:ind w:left="420"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Not Responsible for Recitals or Issuance of Securities</w:t>
      </w:r>
      <w:r>
        <w:rPr>
          <w:rFonts w:ascii="Times New Roman" w:cs="Times New Roman" w:eastAsia="Times New Roman" w:hAnsi="Times New Roman"/>
          <w:sz w:val="18"/>
          <w:szCs w:val="18"/>
          <w:color w:val="auto"/>
        </w:rPr>
        <w:t>. The recitals contained herein and in the Securities, except the Trustee’s certificates of authentication, shall be taken as the statements of the Company, and the Trustee does not assume any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180" w:lineRule="exact"/>
        <w:rPr>
          <w:sz w:val="20"/>
          <w:szCs w:val="20"/>
          <w:color w:val="auto"/>
        </w:rPr>
      </w:pPr>
    </w:p>
    <w:p>
      <w:pPr>
        <w:jc w:val="both"/>
        <w:ind w:left="4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 The Trustee, any Authenticating Agent, any Paying Agent, any Security Registrar or any other agent of the Company or any Guarantor, in its individual or any other capacity, may become the owner or pledgee of Securities and, subject to Section 608 and Section 613, may otherwise deal with the Company or any Guarantor with the same rights it would have if it were not Trustee, Authenticating Agent, Paying Agent, Security Registrar or such other agent.</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7" w:name="page58"/>
    <w:bookmarkEnd w:id="57"/>
    <w:p>
      <w:pPr>
        <w:jc w:val="both"/>
        <w:ind w:left="4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Money Held in Trust</w:t>
      </w:r>
      <w:r>
        <w:rPr>
          <w:rFonts w:ascii="Times New Roman" w:cs="Times New Roman" w:eastAsia="Times New Roman" w:hAnsi="Times New Roman"/>
          <w:sz w:val="18"/>
          <w:szCs w:val="18"/>
          <w:color w:val="auto"/>
        </w:rPr>
        <w:t>. Money held by the Trustee in trust hereunder need not be segregated from other funds except to the extent required by law or by any other provision of this Indenture. The Trustee (acting in any capacity hereunder) shall be under no liability for interest on any money received by it hereunder except as otherwise agreed in writing with the Company or any Guarantor.</w:t>
      </w:r>
    </w:p>
    <w:p>
      <w:pPr>
        <w:spacing w:after="0" w:line="180" w:lineRule="exact"/>
        <w:rPr>
          <w:sz w:val="20"/>
          <w:szCs w:val="20"/>
          <w:color w:val="auto"/>
        </w:rPr>
      </w:pPr>
    </w:p>
    <w:p>
      <w:pPr>
        <w:ind w:left="108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55"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Trustee (in its capacity as Trustee, and, to the extent it has been appointed as such, as Paying Agent and Security Registrar) from time to time reasonable compensation for its acceptance of this Indenture and services hereunder in accordance with a written schedule provided by the Trustee to the Company. The Trustee’s compensation shall not be limited by any law on compensation of a trustee of an express trust. The Company shall reimburse the Trustee promptly upon request for all reasonable and customary disbursements, advances and reasonable out-of-pocket expenses incurred or made by it in addition to the compensation for its services, except those resulting from its own negligent action, negligent failure to act or willful misconduct. Such expenses shall include the reasonable and customary compensation, disbursements and expenses of the Trustee’s agents and counsel.</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20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the Trustee in its capacity against any and all losses, liabilities or reasonable out-of-pocket expenses (including reasonable attorneys’ fees and court costs) incurred by it arising out of or in connection with the acceptance or administration of its duties under this Indenture, including the costs and expenses (including reasonable attorneys’ fees and court costs) of enforcing this Indenture against the Company (including this Section 607) and defending itself against any claim (whether asserted by either of the Company or any Holder or any other Person) or liability in connection with the exercise or performance of any of its powers or duties hereunder, except to the extent any such loss, liability, expense or cost is the result of the Trustee’s own negligence or willful misconduct as found by a court of competent jurisdiction. The Trustee shall notify the Company promptly of any claim for which it may seek indemnity. Failure by the Trustee to so notify the Company shall not relieve the Company of its obligations hereunder. The Company shall defend the claim and the Trustee shall cooperate in the defense. The Trustee may elect to have separate counsel defend the claim, but the Company shall be obligated to pay the reasonable fees and expenses of such separate counsel only if the Company fails to assume the Trustee’s defense or there is a conflict of interest between the Company, on the one hand, and the Trustee, on the other hand, with respect to the claim, as reasonably determined by the Trustee. The Company need not pay for any settlement made without its consent, which consent shall not be unreasonably withheld. None of the Company nor the Guarantors need reimburse the Trustee for any expense or indemnity against liability or loss of the Trustee to the extent such expense, liability or loss is the result of its own negligence or willful misconduct.</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1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security for the performance of the obligations of the Company under this Section 607 the Trustee shall have a lien prior to the Securities of any series upon all property and funds held or collected by the Trustee as such, except funds held in trust for the payment of principal of (and premium, if any) or interest on Securities of such series. Such lien shall survive satisfaction and discharge of this Indenture.</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8" w:name="page59"/>
    <w:bookmarkEnd w:id="58"/>
    <w:p>
      <w:pPr>
        <w:jc w:val="both"/>
        <w:ind w:firstLine="644"/>
        <w:spacing w:after="0" w:line="254" w:lineRule="auto"/>
        <w:tabs>
          <w:tab w:leader="none" w:pos="17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rights available to the Trustee under applicable law, when the Trustee incurs expenses or renders services in connection with an Event of Default specified in Section 501(5) and Section 501(6), the expenses (including the reasonable charges and expenses of its counsel) and the compensation for the services are intended to constitute expenses of administration under any applicable Federal or State bankruptcy, insolvency or other similar law. To the extent that the payment of any such compensation, expenses, disbursements and advances of the Trustee, its agents and counsel, and any other amounts due the Trustee under this Section 607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w:t>
      </w:r>
    </w:p>
    <w:p>
      <w:pPr>
        <w:spacing w:after="0" w:line="191" w:lineRule="exact"/>
        <w:rPr>
          <w:rFonts w:ascii="Times New Roman" w:cs="Times New Roman" w:eastAsia="Times New Roman" w:hAnsi="Times New Roman"/>
          <w:sz w:val="18"/>
          <w:szCs w:val="18"/>
          <w:color w:val="auto"/>
        </w:rPr>
      </w:pPr>
    </w:p>
    <w:p>
      <w:pPr>
        <w:ind w:left="1760" w:hanging="1116"/>
        <w:spacing w:after="0"/>
        <w:tabs>
          <w:tab w:leader="none" w:pos="1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607 shall survive the termination of this Indenture and the resignation or removal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jc w:val="both"/>
        <w:ind w:left="8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Conflicting Interests</w:t>
      </w:r>
      <w:r>
        <w:rPr>
          <w:rFonts w:ascii="Times New Roman" w:cs="Times New Roman" w:eastAsia="Times New Roman" w:hAnsi="Times New Roman"/>
          <w:sz w:val="18"/>
          <w:szCs w:val="18"/>
          <w:color w:val="auto"/>
        </w:rPr>
        <w:t>.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83" w:lineRule="exact"/>
        <w:rPr>
          <w:sz w:val="20"/>
          <w:szCs w:val="20"/>
          <w:color w:val="auto"/>
        </w:rPr>
      </w:pPr>
    </w:p>
    <w:p>
      <w:pPr>
        <w:jc w:val="both"/>
        <w:ind w:left="8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Corporate Trustee Required; Eligibility</w:t>
      </w:r>
      <w:r>
        <w:rPr>
          <w:rFonts w:ascii="Times New Roman" w:cs="Times New Roman" w:eastAsia="Times New Roman" w:hAnsi="Times New Roman"/>
          <w:sz w:val="18"/>
          <w:szCs w:val="18"/>
          <w:color w:val="auto"/>
        </w:rPr>
        <w:t>. 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has a combined capital and surplus of at least $100,000,000 and has its Corporate Trust Office in the continental United States of America. If any such Person publishes reports of condition at least annually, pursuant to law or to the requirements of its supervising or examining authority, then for the purposes of this Section 609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609, it shall resign immediately in the manner and with the effect hereinafter specified in this Article.</w:t>
      </w:r>
    </w:p>
    <w:p>
      <w:pPr>
        <w:spacing w:after="0" w:line="188" w:lineRule="exact"/>
        <w:rPr>
          <w:sz w:val="20"/>
          <w:szCs w:val="20"/>
          <w:color w:val="auto"/>
        </w:rPr>
      </w:pPr>
    </w:p>
    <w:p>
      <w:pPr>
        <w:jc w:val="both"/>
        <w:ind w:left="8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 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9" w:name="page60"/>
    <w:bookmarkEnd w:id="5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60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the instrument of acceptance by a successor Trustee required by Section 611 shall not have been delivered to the Trustee within 30 days after the giving of a notice of removal pursuant to this paragraph, the Trustee being removed may petition, at the expense of the Company, any court of competent jurisdiction for the appointment of a successor Trustee with respect to the Securities of such series.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at any time:</w:t>
      </w:r>
    </w:p>
    <w:p>
      <w:pPr>
        <w:spacing w:after="0" w:line="225" w:lineRule="exact"/>
        <w:rPr>
          <w:sz w:val="20"/>
          <w:szCs w:val="20"/>
          <w:color w:val="auto"/>
        </w:rPr>
      </w:pPr>
    </w:p>
    <w:p>
      <w:pPr>
        <w:ind w:left="660" w:firstLine="644"/>
        <w:spacing w:after="0" w:line="282" w:lineRule="auto"/>
        <w:tabs>
          <w:tab w:leader="none" w:pos="23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Section 608 after written request therefor by the Company or by any Holder who has been a bona fide Holder of a Security for at least six months,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2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609 and shall fail to resign after written request therefor by the Company or by any such Holder,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an instrument of acceptance by a successor Trustee shall not have been delivered to the Trustee within 30 days after the giving of such notice of removal, the Trustee being removed may petition, at the expense of the Company, any court of competent jurisdiction for the appointment of a successor Trustee with respect to the Securities of such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176" w:lineRule="exact"/>
        <w:rPr>
          <w:sz w:val="20"/>
          <w:szCs w:val="20"/>
          <w:color w:val="auto"/>
        </w:rPr>
      </w:pPr>
    </w:p>
    <w:p>
      <w:pPr>
        <w:jc w:val="both"/>
        <w:ind w:left="15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 In case of the appointment hereunder of a successor Trustee with respect to all Securities, such successor Trustee so appointed shall execute, acknowledge and deliver to the Company, any Guarantor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any Guarantor,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request of any such successor Trustee, the Company and any Guarantor shall execute any and all instruments for more fully and certainly vesting in and confirming to such successor Trustee all such rights, powers and trusts referred to in the first or second preceding paragraph, as the case may be.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2" w:lineRule="exact"/>
        <w:rPr>
          <w:sz w:val="20"/>
          <w:szCs w:val="20"/>
          <w:color w:val="auto"/>
        </w:rPr>
      </w:pPr>
    </w:p>
    <w:p>
      <w:pPr>
        <w:jc w:val="both"/>
        <w:ind w:left="15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92" w:lineRule="exact"/>
        <w:rPr>
          <w:sz w:val="20"/>
          <w:szCs w:val="20"/>
          <w:color w:val="auto"/>
        </w:rPr>
      </w:pPr>
    </w:p>
    <w:p>
      <w:pPr>
        <w:jc w:val="both"/>
        <w:ind w:left="15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 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76" w:lineRule="exact"/>
        <w:rPr>
          <w:sz w:val="20"/>
          <w:szCs w:val="20"/>
          <w:color w:val="auto"/>
        </w:rPr>
      </w:pPr>
    </w:p>
    <w:p>
      <w:pPr>
        <w:jc w:val="both"/>
        <w:ind w:left="15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 The Trustee may appoint an Authenticating Agent or Agents with respect to any series of Securities which shall be authorized to act on behalf of the Trustee to authenticate the Securities of such Series issued upon original issue and upon exchange, registration of transfer, partial conversion or partial redemption or pursuant to Section 306, and Securities of such series so authenticated shall be entitled to the benefits of this Indenture and shall be valid and obligatory for all purposes as if authenticated by the Trustee hereunder. Wherever reference is made in this Indenture to the authentication and delivery of Securities of such series by the Trustee or the Trustee’s certificate of authentication, such reference shall be deemed to include authentication and delivery on behalf of the Trustee by an Authenticating Agent so appointed with respect to such series and a certificate of authentication executed on behalf of the Trustee by an Authenticating Agent so appointed with respect to such series.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 such Authenticating Agent shall resign immediately in the manner and with the effect specified in this Section 614.</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614, without the execution or filing of any paper or any further act on the part of the Trustee, the Company, the Authenticating Agent or such successor corporation.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614, the Trustee may appoint a successor Authenticating Agent with respect to any series of Securities which shall be acceptable to the Company and shall give notice of such appointment to all Holders of Securities of such series in the manner provided in Section 106. Any successor Authenticating Agent upon acceptance of its appointment hereunder shall become vested with all rights, powers and duties of its predecessor hereunder, with like effect as if originally named as an Authenticating Agent. No successor Authenticating Agent shall be appointed unless eligible under the provisions of this Section 614.</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agrees to pay to each Authenticating Agent from time to time reasonable compensation for its services under this Section 614, and the Trustee shall be entitled to be reimbursed by the Company for such payments, subject to the provisions of Section 607.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firstLine="648"/>
        <w:spacing w:after="0" w:line="282" w:lineRule="auto"/>
        <w:rPr>
          <w:sz w:val="20"/>
          <w:szCs w:val="20"/>
          <w:color w:val="auto"/>
        </w:rPr>
      </w:pPr>
      <w:r>
        <w:rPr>
          <w:rFonts w:ascii="Times New Roman" w:cs="Times New Roman" w:eastAsia="Times New Roman" w:hAnsi="Times New Roman"/>
          <w:sz w:val="18"/>
          <w:szCs w:val="18"/>
          <w:color w:val="auto"/>
        </w:rPr>
        <w:t>If an appointment is made pursuant to this Section 614 with respect to Securities of any series, the Securities of such series may have endorsed thereon, in addition to the Trustee’s certificate of authentication, an alternate certificate of authentication in the following form: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herein and referred to in the within-mentioned Indenture.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[NAME OF AUTHENTICATING AGENT],</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HOLDERS’ LISTS AND REPORTS BY TRUSTEE AND COMPANY</w:t>
      </w:r>
    </w:p>
    <w:p>
      <w:pPr>
        <w:spacing w:after="0" w:line="207" w:lineRule="exact"/>
        <w:rPr>
          <w:sz w:val="20"/>
          <w:szCs w:val="20"/>
          <w:color w:val="auto"/>
        </w:rPr>
      </w:pPr>
    </w:p>
    <w:p>
      <w:pPr>
        <w:ind w:left="15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 Trustee</w:t>
      </w:r>
    </w:p>
    <w:p>
      <w:pPr>
        <w:spacing w:after="0" w:line="162" w:lineRule="exact"/>
        <w:rPr>
          <w:sz w:val="20"/>
          <w:szCs w:val="20"/>
          <w:color w:val="auto"/>
        </w:rPr>
      </w:pPr>
    </w:p>
    <w:p>
      <w:pPr>
        <w:jc w:val="both"/>
        <w:ind w:left="660" w:firstLine="644"/>
        <w:spacing w:after="0" w:line="266" w:lineRule="auto"/>
        <w:tabs>
          <w:tab w:leader="none" w:pos="23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later than May 15 and November 15 in each year, a list, in such form as the Trustee may reasonably require, of the names and addresses of the Holders of Securities of each series as of the immediately preceding May 1 or November 1 as the case may be, and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4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provided, however, that if and so long as the Trustee shall be the Security Registrar for Securities of a series, no such list need be furnished with respect to such series of Securities.</w:t>
      </w:r>
    </w:p>
    <w:p>
      <w:pPr>
        <w:spacing w:after="0" w:line="162" w:lineRule="exact"/>
        <w:rPr>
          <w:sz w:val="20"/>
          <w:szCs w:val="20"/>
          <w:color w:val="auto"/>
        </w:rPr>
      </w:pPr>
    </w:p>
    <w:p>
      <w:pPr>
        <w:jc w:val="both"/>
        <w:ind w:left="15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Preservation of Information; Communications to Holders</w:t>
      </w:r>
      <w:r>
        <w:rPr>
          <w:rFonts w:ascii="Times New Roman" w:cs="Times New Roman" w:eastAsia="Times New Roman" w:hAnsi="Times New Roman"/>
          <w:sz w:val="18"/>
          <w:szCs w:val="18"/>
          <w:color w:val="auto"/>
        </w:rPr>
        <w:t>.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Holder of Securities, by receiving and holding the same, agrees with the Company, any Guarantor and the Trustee that neither of the Company nor the Guarantors (if applicable) nor the Trustee nor any agent of any of them shall be held accountable by reason of any disclosure of information as to names and addresses of Holders made pursuant to the Trust Indenture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left="1540" w:firstLine="648"/>
        <w:spacing w:after="0" w:line="275"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 The Trustee shall transmit to Holders such reports concerning the Trustee and its actions under this Indenture as may be required pursuant to the Trust Indenture Act at the times and in the manner provided pursuant thereto.</w:t>
      </w:r>
    </w:p>
    <w:p>
      <w:pPr>
        <w:spacing w:after="0" w:line="3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Reports so required to be transmitted at stated intervals of not more than 12 months shall be transmitted no later than April 15 and shall be dated as of April 1 in each calendar year, commencing after the issuance of Securities.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 and of any delisting thereof.</w:t>
      </w:r>
    </w:p>
    <w:p>
      <w:pPr>
        <w:spacing w:after="0" w:line="176" w:lineRule="exact"/>
        <w:rPr>
          <w:sz w:val="20"/>
          <w:szCs w:val="20"/>
          <w:color w:val="auto"/>
        </w:rPr>
      </w:pPr>
    </w:p>
    <w:p>
      <w:pPr>
        <w:jc w:val="both"/>
        <w:ind w:left="15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Reports by Company and Guarantors</w:t>
      </w:r>
      <w:r>
        <w:rPr>
          <w:rFonts w:ascii="Times New Roman" w:cs="Times New Roman" w:eastAsia="Times New Roman" w:hAnsi="Times New Roman"/>
          <w:sz w:val="18"/>
          <w:szCs w:val="18"/>
          <w:color w:val="auto"/>
        </w:rPr>
        <w:t>. The Company and any Guarantor shall file with the Trustee and the Commission, and transmit to Holders, such information, documents and other reports, and such summaries thereof, as may be required pursuant to the Trust Indenture Act, if any, at the times and in the manner provided pursuant to such Act; provided that any such information, documents or reports required to be filed with the Commission pursuant to Section 13 or 15(d) of the Exchange Act need not be filed with the Trustee until the 15th day after the same are actually filed with the Commission. The Company and any Guarantor will be deemed to have furnished such reports to the Trustee if it has filed such reports with the SEC using the EDGAR filing system and such reports are publicly available. The Trustee has no duty or obligation to monitor if such information, documents and other reports have been so filed or are publicly available.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compliance by the Company or any Guarantor with any of their covenants hereunder (as to which the Trustee is entitled to rely exclusively on Officer’s Certificates or Guarantor’s Officer’s Certificates, as the case may be).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5" w:name="page66"/>
    <w:bookmarkEnd w:id="65"/>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CONSOLIDATION, MERGER, SALE, CONVEYANCE, TRANSFER OR LEASE</w:t>
      </w:r>
    </w:p>
    <w:p>
      <w:pPr>
        <w:spacing w:after="0" w:line="207" w:lineRule="exact"/>
        <w:rPr>
          <w:sz w:val="20"/>
          <w:szCs w:val="20"/>
          <w:color w:val="auto"/>
        </w:rPr>
      </w:pPr>
    </w:p>
    <w:p>
      <w:pPr>
        <w:jc w:val="both"/>
        <w:ind w:left="8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Company May Consolidate, Etc., Only on Certain Terms</w:t>
      </w:r>
      <w:r>
        <w:rPr>
          <w:rFonts w:ascii="Times New Roman" w:cs="Times New Roman" w:eastAsia="Times New Roman" w:hAnsi="Times New Roman"/>
          <w:sz w:val="18"/>
          <w:szCs w:val="18"/>
          <w:color w:val="auto"/>
        </w:rPr>
        <w:t>. The Company shall not, in a single transaction or a series of related transactions, consolidate with or merge with or into, or sell, convey, transfer or lease all or substantially all of its properties and assets on a consolidated basis to, any Person, unless:</w:t>
      </w:r>
    </w:p>
    <w:p>
      <w:pPr>
        <w:spacing w:after="0" w:line="172" w:lineRule="exact"/>
        <w:rPr>
          <w:sz w:val="20"/>
          <w:szCs w:val="20"/>
          <w:color w:val="auto"/>
        </w:rPr>
      </w:pPr>
    </w:p>
    <w:p>
      <w:pPr>
        <w:ind w:firstLine="644"/>
        <w:spacing w:after="0" w:line="286" w:lineRule="auto"/>
        <w:tabs>
          <w:tab w:leader="none" w:pos="16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w:t>
      </w:r>
      <w:r>
        <w:rPr>
          <w:rFonts w:ascii="Times New Roman" w:cs="Times New Roman" w:eastAsia="Times New Roman" w:hAnsi="Times New Roman"/>
          <w:sz w:val="18"/>
          <w:szCs w:val="18"/>
          <w:b w:val="1"/>
          <w:bCs w:val="1"/>
          <w:i w:val="1"/>
          <w:iCs w:val="1"/>
          <w:color w:val="auto"/>
        </w:rPr>
        <w:t>Successor Company</w:t>
      </w:r>
      <w:r>
        <w:rPr>
          <w:rFonts w:ascii="Times New Roman" w:cs="Times New Roman" w:eastAsia="Times New Roman" w:hAnsi="Times New Roman"/>
          <w:sz w:val="18"/>
          <w:szCs w:val="18"/>
          <w:color w:val="auto"/>
        </w:rPr>
        <w:t>”) shall be a corporation, limited liability company, partnership, trust or other entity organized and validly existing under the laws of the United States, any State thereof or the District of Columbia;</w:t>
      </w:r>
    </w:p>
    <w:p>
      <w:pPr>
        <w:spacing w:after="0" w:line="158" w:lineRule="exact"/>
        <w:rPr>
          <w:rFonts w:ascii="Times New Roman" w:cs="Times New Roman" w:eastAsia="Times New Roman" w:hAnsi="Times New Roman"/>
          <w:sz w:val="18"/>
          <w:szCs w:val="18"/>
          <w:color w:val="auto"/>
        </w:rPr>
      </w:pPr>
    </w:p>
    <w:p>
      <w:pPr>
        <w:jc w:val="both"/>
        <w:ind w:firstLine="644"/>
        <w:spacing w:after="0" w:line="261" w:lineRule="auto"/>
        <w:tabs>
          <w:tab w:leader="none" w:pos="1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Company (if not the Company) shall expressly assume, by supplemental indenture, executed and delivered to the Trustee, in form reasonably satisfactory to the Trustee, the due and punctual payment of the principal of and any premium and interest on all the Securities and the performance or observance of every covenant of this Indenture on the part of the Company to be performed or observed and, for each Security that by its terms provides for conversion, shall have provided for the right to convert such Security in accordance with its terms;</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15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occurred and be continuing; and</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18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such consolidation, merger, sale, conveyance, transfer or lease and, if a supplemental indenture is required in connection with such transaction, such supplemental indenture comply with this Article and that all conditions precedent provided for in this Indenture relating to such transaction have been complied with.</w:t>
      </w:r>
    </w:p>
    <w:p>
      <w:pPr>
        <w:spacing w:after="0" w:line="180" w:lineRule="exact"/>
        <w:rPr>
          <w:sz w:val="20"/>
          <w:szCs w:val="20"/>
          <w:color w:val="auto"/>
        </w:rPr>
      </w:pPr>
    </w:p>
    <w:p>
      <w:pPr>
        <w:jc w:val="both"/>
        <w:ind w:left="8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Successor Substituted</w:t>
      </w:r>
      <w:r>
        <w:rPr>
          <w:rFonts w:ascii="Times New Roman" w:cs="Times New Roman" w:eastAsia="Times New Roman" w:hAnsi="Times New Roman"/>
          <w:sz w:val="18"/>
          <w:szCs w:val="18"/>
          <w:color w:val="auto"/>
        </w:rPr>
        <w:t>. Upon any consolidation of the Company with, or merger of the Company with or into, or any sale, conveyance, transfer or lease of all or substantially all the properties and assets of the Company on a consolidated basis to, any Person, in each case in accordance with Section 801, the Successor Company shall succeed to, and be substituted for, and may exercise every right and power of, the Company under this Indenture with the same effect as if the Successor Company had been named as the Company herein, and thereafter the predecessor Company shall be relieved of all obligations and covenants under this Indenture and the Securities, except in the case of a lease of all or substantially all of the properties and assets of the Company on a consolidated basis, in which case the predecessor Company shall not be released from the obligation to pay the principal of, any premium on, and interest on the Securities.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66" w:name="page67"/>
    <w:bookmarkEnd w:id="66"/>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07" w:lineRule="exact"/>
        <w:rPr>
          <w:sz w:val="20"/>
          <w:szCs w:val="20"/>
          <w:color w:val="auto"/>
        </w:rPr>
      </w:pPr>
    </w:p>
    <w:p>
      <w:pPr>
        <w:jc w:val="both"/>
        <w:ind w:left="880"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color w:val="auto"/>
        </w:rPr>
        <w:t>. Except as may otherwise be provided pursuant to Section 301 for all or any specific Securities of any series, without the consent of any Holders, the Company, each of the Guarantors, and the Trustee, at any time and from time to time, may enter into one or more indentures supplemental hereto, in form satisfactory to the Trustee, for any of the following purposes:</w:t>
      </w:r>
    </w:p>
    <w:p>
      <w:pPr>
        <w:spacing w:after="0" w:line="180" w:lineRule="exact"/>
        <w:rPr>
          <w:sz w:val="20"/>
          <w:szCs w:val="20"/>
          <w:color w:val="auto"/>
        </w:rPr>
      </w:pPr>
    </w:p>
    <w:p>
      <w:pPr>
        <w:ind w:right="20" w:firstLine="644"/>
        <w:spacing w:after="0" w:line="282" w:lineRule="auto"/>
        <w:tabs>
          <w:tab w:leader="none" w:pos="1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or a Guarantor and the assumption by any such successor of the covenants of the Company or such Guarantor herein and in the Securities or the Guarantees of such Guarantor, as the case may be; or</w:t>
      </w:r>
    </w:p>
    <w:p>
      <w:pPr>
        <w:spacing w:after="0" w:line="161" w:lineRule="exact"/>
        <w:rPr>
          <w:rFonts w:ascii="Times New Roman" w:cs="Times New Roman" w:eastAsia="Times New Roman" w:hAnsi="Times New Roman"/>
          <w:sz w:val="18"/>
          <w:szCs w:val="18"/>
          <w:color w:val="auto"/>
        </w:rPr>
      </w:pPr>
    </w:p>
    <w:p>
      <w:pPr>
        <w:jc w:val="both"/>
        <w:ind w:firstLine="644"/>
        <w:spacing w:after="0" w:line="258" w:lineRule="auto"/>
        <w:tabs>
          <w:tab w:leader="none" w:pos="158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or any Guarantor for the benefit of the Holders of all or any Securities of any series (and if such covenants are to be for the benefit of less than all Securities of such series, stating that such covenants are expressly being included solely for the benefit of such Securities within such series) or to surrender any right or power herein conferred upon the Company or any Guarantor with regard to all or any Securities of any series (and if any such surrender is to be made with regard to less than all Securities of such series, stating that such surrender is expressly being made solely with regard to such Securities within such series); or</w:t>
      </w:r>
    </w:p>
    <w:p>
      <w:pPr>
        <w:spacing w:after="0" w:line="183" w:lineRule="exact"/>
        <w:rPr>
          <w:rFonts w:ascii="Times New Roman" w:cs="Times New Roman" w:eastAsia="Times New Roman" w:hAnsi="Times New Roman"/>
          <w:sz w:val="18"/>
          <w:szCs w:val="18"/>
          <w:color w:val="auto"/>
        </w:rPr>
      </w:pPr>
    </w:p>
    <w:p>
      <w:pPr>
        <w:jc w:val="both"/>
        <w:ind w:firstLine="644"/>
        <w:spacing w:after="0" w:line="266" w:lineRule="auto"/>
        <w:tabs>
          <w:tab w:leader="none" w:pos="17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the Holders of all or any Securities of any series (and if such additional Events of Default are to be for the benefit of less than all Securities of such series, stating that such additional Events of Default are expressly being included solely for the benefit of such Securities within such series); or</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17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75" w:lineRule="exact"/>
        <w:rPr>
          <w:rFonts w:ascii="Times New Roman" w:cs="Times New Roman" w:eastAsia="Times New Roman" w:hAnsi="Times New Roman"/>
          <w:sz w:val="18"/>
          <w:szCs w:val="18"/>
          <w:color w:val="auto"/>
        </w:rPr>
      </w:pPr>
    </w:p>
    <w:p>
      <w:pPr>
        <w:jc w:val="both"/>
        <w:ind w:firstLine="644"/>
        <w:spacing w:after="0" w:line="256" w:lineRule="auto"/>
        <w:tabs>
          <w:tab w:leader="none" w:pos="162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this Indenture in respect of all or any Securities of any series or any Guarantees thereof (and if such addition, change or elimination is to apply with respect to less than all Securities of such series or Guarantees thereof, stating that it is expressly being made to apply solely with respect to such Securities within such series or Guarantees thereof), provided that any such addition, change or elimination (A) shall neither (i) apply to any Security of any series or Guarantees thereof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87" w:lineRule="exact"/>
        <w:rPr>
          <w:rFonts w:ascii="Times New Roman" w:cs="Times New Roman" w:eastAsia="Times New Roman" w:hAnsi="Times New Roman"/>
          <w:sz w:val="18"/>
          <w:szCs w:val="18"/>
          <w:color w:val="auto"/>
        </w:rPr>
      </w:pPr>
    </w:p>
    <w:p>
      <w:pPr>
        <w:ind w:left="1520" w:hanging="876"/>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 or any Guarantees; or</w:t>
      </w:r>
    </w:p>
    <w:p>
      <w:pPr>
        <w:spacing w:after="0" w:line="225" w:lineRule="exact"/>
        <w:rPr>
          <w:rFonts w:ascii="Times New Roman" w:cs="Times New Roman" w:eastAsia="Times New Roman" w:hAnsi="Times New Roman"/>
          <w:sz w:val="18"/>
          <w:szCs w:val="18"/>
          <w:color w:val="auto"/>
        </w:rPr>
      </w:pPr>
    </w:p>
    <w:p>
      <w:pPr>
        <w:ind w:left="1620" w:hanging="976"/>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all or any Securities of any series and any Guarantees thereof as permitted by Section 201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Section 301; or</w:t>
      </w:r>
    </w:p>
    <w:p>
      <w:pPr>
        <w:spacing w:after="0" w:line="206" w:lineRule="exact"/>
        <w:rPr>
          <w:rFonts w:ascii="Times New Roman" w:cs="Times New Roman" w:eastAsia="Times New Roman" w:hAnsi="Times New Roman"/>
          <w:sz w:val="18"/>
          <w:szCs w:val="18"/>
          <w:color w:val="auto"/>
        </w:rPr>
      </w:pPr>
    </w:p>
    <w:p>
      <w:pPr>
        <w:jc w:val="both"/>
        <w:ind w:firstLine="644"/>
        <w:spacing w:after="0" w:line="266" w:lineRule="auto"/>
        <w:tabs>
          <w:tab w:leader="none" w:pos="15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67" w:name="page68"/>
    <w:bookmarkEnd w:id="67"/>
    <w:p>
      <w:pPr>
        <w:jc w:val="both"/>
        <w:ind w:left="660" w:firstLine="644"/>
        <w:spacing w:after="0" w:line="266" w:lineRule="auto"/>
        <w:tabs>
          <w:tab w:leader="none" w:pos="21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this Indenture with respect to any Securities that by their terms may be converted into securities or other property other than Securities of the same series and of like tenor, in order to permit or facilitate the issuance, payment or conversion of such Securities;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Person as a Guarantor under this Indenture, to add additional Guarantees or additional Guarantors in respect of any Outstanding Securities under this Indenture, or to evidence the release and discharge of any Guarantor from its obligations under its Guarantees of any Securities and its obligations under this Indenture in respect of any Securities in accordance with the terms of this Indenture;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or any Securities to any provision of the “Description of Debt Securities” or “Description of the Notes” (or comparable) section in any offering memorandum, prospectus or prospectus supplement of the Company prepared from time to time with respect to the offer and sale of Securities of any series, to the extent that such provision was intended to be a verbatim recitation of a provision of this Indenture or the Securities, which intent will be established by an Officer’s Certificate; or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9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(12) shall not adversely affect the interests of the Holders of Securities of any series in any material respect.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is hereby authorized to join with the Company and the Guarantors in the execution of any such supplemental indenture, to make any further appropriate agreements and stipulations that may be therein contained and to accept the conveyance, transfer, assignment, mortgage or pledge of any property thereunder, but the Trustee shall not be obligated to enter into any such supplemental indenture that affects the Trustee’s own rights, duties or immunities under this Indenture or otherwise.</w:t>
      </w:r>
    </w:p>
    <w:p>
      <w:pPr>
        <w:spacing w:after="0" w:line="180" w:lineRule="exact"/>
        <w:rPr>
          <w:sz w:val="20"/>
          <w:szCs w:val="20"/>
          <w:color w:val="auto"/>
        </w:rPr>
      </w:pPr>
    </w:p>
    <w:p>
      <w:pPr>
        <w:jc w:val="both"/>
        <w:ind w:left="15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Holders</w:t>
      </w:r>
      <w:r>
        <w:rPr>
          <w:rFonts w:ascii="Times New Roman" w:cs="Times New Roman" w:eastAsia="Times New Roman" w:hAnsi="Times New Roman"/>
          <w:sz w:val="18"/>
          <w:szCs w:val="18"/>
          <w:color w:val="auto"/>
        </w:rPr>
        <w:t>. Except as may otherwise be provided pursuant to Section 301 for all or any specific Securities of any series or Guarantees thereof, with the consent of the Holders of a majority in principal amount (including consents obtained in connection with a purchase of, or tender offer or exchange offer for, Securities) of the Outstanding Securities of all series affected by such supplemental indenture (considered together as one class for this purpose and such affected Securities potentially being Securities of the same or different series and, with respect to any series, potentially comprising fewer than all the Securities of such series), by Act of said Holders delivered to the Company and the Trustee, the Company, when authorized by a Board Resolution, each of the Guarantors when authorized by a Guarantor’s Board Resolution of such Guarantor,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or any Guarantees of such Securities; provided, however, that no such supplemental indenture shall, without the consent of the Holder of each Outstanding Security affected thereby (including consents obtained in connection with a purchase of, or tender offer or exchange offer for, Securities),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left="-460" w:firstLine="644"/>
        <w:spacing w:after="0" w:line="255" w:lineRule="auto"/>
        <w:tabs>
          <w:tab w:leader="none" w:pos="11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that would be due and payable upon acceleration of the Maturity thereof pursuant to Section 502, or permit the Company to redeem any Security if, absent such supplemental indenture, the Company would not be permitted to do so,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188" w:lineRule="exact"/>
        <w:rPr>
          <w:rFonts w:ascii="Times New Roman" w:cs="Times New Roman" w:eastAsia="Times New Roman" w:hAnsi="Times New Roman"/>
          <w:sz w:val="18"/>
          <w:szCs w:val="18"/>
          <w:color w:val="auto"/>
        </w:rPr>
      </w:pPr>
    </w:p>
    <w:p>
      <w:pPr>
        <w:ind w:left="-460" w:firstLine="644"/>
        <w:spacing w:after="0" w:line="282"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Security provides that the Holder may require the Company to repurchase or convert such Security, impair such Holder’s right to require repurchase or conversion of such Security on the terms provided therein, or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one or more series (considered separately or together as one class, as applicable, and whether comprising the same or different series or less than all the Securities of a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11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Security is guaranteed by the Guarantee of any Guarantor, release such Guarantor from any of its obligations under such Guarantee except in accordance with the terms of this Indenture; or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this Section 902, Section 513 or Section 1006,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concomitant changes in this Section 902 and Section 1006, or the deletion of this proviso, in accordance with the requirements of Section 611 and Section 901(8).</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9" w:name="page70"/>
    <w:bookmarkEnd w:id="6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supplemental indenture that changes or eliminates any covenant or other provision of this Indenture which has expressly been included solely for the benefit of one or more particular Securities or series of Securities, or that modifies the rights of the Holders of such Securities or series with respect to such covenant or other provision, shall be deemed not to affect the rights under this Indenture of the Holders of any other Securities or of any other series, as applicable.</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902 to approve the particular form of any proposed supplemental indenture, but it shall be sufficient if such Act shall approve the substance thereof. A consent to any indenture supplemental hereto by or on behalf of any Holder of Securities given in connection with a purchase of, or tender or exchange offer for, such Holder’s Securities will not be rendered invalid by such purchase, tender or exchange.</w:t>
      </w:r>
    </w:p>
    <w:p>
      <w:pPr>
        <w:spacing w:after="0" w:line="180" w:lineRule="exact"/>
        <w:rPr>
          <w:sz w:val="20"/>
          <w:szCs w:val="20"/>
          <w:color w:val="auto"/>
        </w:rPr>
      </w:pPr>
    </w:p>
    <w:p>
      <w:pPr>
        <w:jc w:val="both"/>
        <w:ind w:left="15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 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and Officer’s Certificate and Guarantor’s Officer’s Certificate, as the case may be, stating that the execution of such supplemental indenture is authorized or permitted by this Indenture. The Trustee may, but shall not be obligated to, enter into any such supplemental indenture that affects the Trustee’s own rights, duties or immunities under this Indenture or otherwise.</w:t>
      </w:r>
    </w:p>
    <w:p>
      <w:pPr>
        <w:spacing w:after="0" w:line="187" w:lineRule="exact"/>
        <w:rPr>
          <w:sz w:val="20"/>
          <w:szCs w:val="20"/>
          <w:color w:val="auto"/>
        </w:rPr>
      </w:pPr>
    </w:p>
    <w:p>
      <w:pPr>
        <w:jc w:val="both"/>
        <w:ind w:left="15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76" w:lineRule="exact"/>
        <w:rPr>
          <w:sz w:val="20"/>
          <w:szCs w:val="20"/>
          <w:color w:val="auto"/>
        </w:rPr>
      </w:pPr>
    </w:p>
    <w:p>
      <w:pPr>
        <w:jc w:val="both"/>
        <w:ind w:left="15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Conformity with Trust Indenture Act</w:t>
      </w:r>
      <w:r>
        <w:rPr>
          <w:rFonts w:ascii="Times New Roman" w:cs="Times New Roman" w:eastAsia="Times New Roman" w:hAnsi="Times New Roman"/>
          <w:sz w:val="18"/>
          <w:szCs w:val="18"/>
          <w:color w:val="auto"/>
        </w:rPr>
        <w:t>. Every supplemental indenture executed pursuant to this Article shall conform to the requirements of the Trust Indenture Act.</w:t>
      </w:r>
    </w:p>
    <w:p>
      <w:pPr>
        <w:spacing w:after="0" w:line="162" w:lineRule="exact"/>
        <w:rPr>
          <w:sz w:val="20"/>
          <w:szCs w:val="20"/>
          <w:color w:val="auto"/>
        </w:rPr>
      </w:pPr>
    </w:p>
    <w:p>
      <w:pPr>
        <w:jc w:val="both"/>
        <w:ind w:left="15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Reference in Securities to Supplemental Indentures</w:t>
      </w:r>
      <w:r>
        <w:rPr>
          <w:rFonts w:ascii="Times New Roman" w:cs="Times New Roman" w:eastAsia="Times New Roman" w:hAnsi="Times New Roman"/>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if applicable, the Guarantors and authenticated and delivered by the Trustee in exchange for Outstanding Securities of such series.</w:t>
      </w:r>
    </w:p>
    <w:p>
      <w:pPr>
        <w:spacing w:after="0" w:line="187" w:lineRule="exact"/>
        <w:rPr>
          <w:sz w:val="20"/>
          <w:szCs w:val="20"/>
          <w:color w:val="auto"/>
        </w:rPr>
      </w:pPr>
    </w:p>
    <w:p>
      <w:pPr>
        <w:jc w:val="both"/>
        <w:ind w:left="15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Except as may otherwise be provided pursuant to Section 301 for all or any specific Securities of any series, past defaults and compliance with certain provisions of this Indenture may be waived in certain circumstances by Holders are provided in Section 513 and Section 1006,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jc w:val="both"/>
        <w:ind w:left="15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Payment of Principal, Premium and Interest</w:t>
      </w:r>
      <w:r>
        <w:rPr>
          <w:rFonts w:ascii="Times New Roman" w:cs="Times New Roman" w:eastAsia="Times New Roman" w:hAnsi="Times New Roman"/>
          <w:sz w:val="18"/>
          <w:szCs w:val="18"/>
          <w:color w:val="auto"/>
        </w:rPr>
        <w:t>. 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76" w:lineRule="exact"/>
        <w:rPr>
          <w:sz w:val="20"/>
          <w:szCs w:val="20"/>
          <w:color w:val="auto"/>
        </w:rPr>
      </w:pPr>
    </w:p>
    <w:p>
      <w:pPr>
        <w:jc w:val="both"/>
        <w:ind w:left="15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 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may be surrendered for conversion and where notices and demands to or upon the Company or any Guarantor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and each Guarantor hereby appoints the Trustee as its agent to receive all such presentations, surrenders, notices and demands.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any Global Security, and except as otherwise may be specified for such Global Security as contemplated by Section 301, the Corporate Trust Office of the Trustee shall be the Place of Payment where such Global Security may be presented or surrendered for payment or for registration of transfer or exchange, or where successor Securities may be delivered in exchange therefor; provided, however, that any such payment, presentation, surrender or delivery effected pursuant to the Applicable Procedures of the Depositary for such Global Security shall be deemed to have been effected at the Place of Payment for such Global Security in accordance with the provisions of this Indenture.</w:t>
      </w:r>
    </w:p>
    <w:p>
      <w:pPr>
        <w:spacing w:after="0" w:line="183" w:lineRule="exact"/>
        <w:rPr>
          <w:sz w:val="20"/>
          <w:szCs w:val="20"/>
          <w:color w:val="auto"/>
        </w:rPr>
      </w:pPr>
    </w:p>
    <w:p>
      <w:pPr>
        <w:jc w:val="both"/>
        <w:ind w:left="15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Money for Securities Payments to Be Held in Trust</w:t>
      </w:r>
      <w:r>
        <w:rPr>
          <w:rFonts w:ascii="Times New Roman" w:cs="Times New Roman" w:eastAsia="Times New Roman" w:hAnsi="Times New Roman"/>
          <w:sz w:val="18"/>
          <w:szCs w:val="18"/>
          <w:color w:val="auto"/>
        </w:rPr>
        <w:t>. 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it will, on or prior to 12:30 P.M., New York City time, on each due date of the principal of or any premium or interest on any Securities of that series, deposit (or, if the Company has deposited any trust funds with a trustee pursuant to Section 1304(1), cause such trustee to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1003,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subject to applicable escheatment laws,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shall, at the expense of the Company, cause to be published once, in The New York Times or The Wall Street Journal (national edition), notice that such money remains unclaimed and that, after a date specified therein, which shall not be less than 30 days from the date of such publication, any unclaimed balance of such money then remaining will be repaid to the Company.</w:t>
      </w:r>
    </w:p>
    <w:p>
      <w:pPr>
        <w:spacing w:after="0" w:line="188" w:lineRule="exact"/>
        <w:rPr>
          <w:sz w:val="20"/>
          <w:szCs w:val="20"/>
          <w:color w:val="auto"/>
        </w:rPr>
      </w:pPr>
    </w:p>
    <w:p>
      <w:pPr>
        <w:jc w:val="both"/>
        <w:ind w:left="15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Subject to Article VIII, the Company will do or cause to be done all things necessary to preserve and keep in full force and effect its corporate existence, rights (charter and statutory), licenses and franchises; provided, however, that the Company will not be required to preserve any such right, license or franchise if it shall determine that the preservation thereof is no longer desirable in the conduct of the business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left="4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Statement by Officer as to Default</w:t>
      </w:r>
      <w:r>
        <w:rPr>
          <w:rFonts w:ascii="Times New Roman" w:cs="Times New Roman" w:eastAsia="Times New Roman" w:hAnsi="Times New Roman"/>
          <w:sz w:val="18"/>
          <w:szCs w:val="18"/>
          <w:color w:val="auto"/>
        </w:rPr>
        <w:t>. The Company shall deliver to the Trustee, within 120 days after the end of each fiscal year of the Company ending after the date hereof, an Officer’s Certificate, stating that a review of the activities of the Company and any Guarantors during the preceding fiscal year has been made under the supervision of the signing Officer with a view to determining whether the Company and each Guarantor (if any) has kept, observed, performed and fulfilled its obligations under this Indenture with respect to the Securities of each series Outstanding and further stating, as to such Officer signing such certificate, that to such Officer’s knowledge, the Company and each Guarantor (if any) has complied with all conditions and covenants under this Indenture with respect to Securities of such series and is not in default in the performance and observance of any of the material terms, provisions and conditions of this Indenture with respect to Securities of such series, in each case, so as not to result in any default or Event of Default with respect to Securities of such series (or, if a default or Event of Default with respect to Securities of such series shall have occurred and be continuing, describing all such defaults or Events of Default of which such Officer may have knowledge and what action the Company or such Guarantor is taking or propose to take with respect thereto).</w:t>
      </w:r>
    </w:p>
    <w:p>
      <w:pPr>
        <w:spacing w:after="0" w:line="192" w:lineRule="exact"/>
        <w:rPr>
          <w:sz w:val="20"/>
          <w:szCs w:val="20"/>
          <w:color w:val="auto"/>
        </w:rPr>
      </w:pPr>
    </w:p>
    <w:p>
      <w:pPr>
        <w:jc w:val="both"/>
        <w:ind w:left="4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Waiver of Certain Covenants</w:t>
      </w:r>
      <w:r>
        <w:rPr>
          <w:rFonts w:ascii="Times New Roman" w:cs="Times New Roman" w:eastAsia="Times New Roman" w:hAnsi="Times New Roman"/>
          <w:sz w:val="18"/>
          <w:szCs w:val="18"/>
          <w:color w:val="auto"/>
        </w:rPr>
        <w:t>. Except as otherwise provided pursuant to Section 301 for all or any Securities of any series, the Company may, with respect to all or any Securities of any series, omit in any particular instance to comply with any covenant, term, provision or condition set forth in this Indenture for the benefit of the Holders of such series if, before the time for such compliance, the Holders of a majority in principal amount (including waivers obtained in connection with a purchase of, or tender offer or exchange offer for, Securities) of all Outstanding Securities affected by such waiver (considered together as one class for this purpose and such affected Securities potentially being Securities of the same or different series and, with respect to any particular series, potentially comprising fewer than all the Securities of such series) shall, by Act of such Holders, either waive such compliance in such instance or generally waive compliance with such covenant, term, provision or condition, but no such waiver shall extend to or affect such covenant, term, provision or condition except to the extent so expressly waived, and, until such waiver shall become effective, the obligations of the Company and the duties of the Trustee in respect of any such covenant, term, provision or condition shall remain in full force and effect, and no such waiver may be granted if a waiver of a past default under such covenant, term, provision or condition could not be granted pursuant to Section 513 or if such waiver would be prohibited by Section 508. A waiver of compliance given by or on behalf of any Holder of Securities in connection with a purchase of, or tender or exchange offer for, such Holder’s Securities will not be rendered invalid by such purchase, tender or exchange.</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3" w:name="page74"/>
    <w:bookmarkEnd w:id="73"/>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07" w:lineRule="exact"/>
        <w:rPr>
          <w:sz w:val="20"/>
          <w:szCs w:val="20"/>
          <w:color w:val="auto"/>
        </w:rPr>
      </w:pPr>
    </w:p>
    <w:p>
      <w:pPr>
        <w:jc w:val="both"/>
        <w:ind w:left="4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Securities of any series that are redeemable before their Stated Maturity shall be redeemable in accordance with their terms and (except as otherwise specified as contemplated by Section 301 for such Securities) in accordance with this Article.</w:t>
      </w:r>
    </w:p>
    <w:p>
      <w:pPr>
        <w:spacing w:after="0" w:line="176" w:lineRule="exact"/>
        <w:rPr>
          <w:sz w:val="20"/>
          <w:szCs w:val="20"/>
          <w:color w:val="auto"/>
        </w:rPr>
      </w:pPr>
    </w:p>
    <w:p>
      <w:pPr>
        <w:jc w:val="both"/>
        <w:ind w:left="4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Election to Redeem; Notice to Trustee</w:t>
      </w:r>
      <w:r>
        <w:rPr>
          <w:rFonts w:ascii="Times New Roman" w:cs="Times New Roman" w:eastAsia="Times New Roman" w:hAnsi="Times New Roman"/>
          <w:sz w:val="18"/>
          <w:szCs w:val="18"/>
          <w:color w:val="auto"/>
        </w:rPr>
        <w:t>. The election of the Company to redeem any Securities shall be established in or pursuant to a Board Resolution or in another manner specified as contemplated by Section 301 for such Securities. If the Company elects to redeem any Securities, the Company shall, at least 5 Business Days prior to the giving of notice of redemption (unless a shorter notice shall be satisfactory to the Trustee), give written notice to the Trustee setting forth (i) the clause of this Indenture pursuant to which the redemption shall occur, (ii) the Redemption Date, (iii) the principal amount of Securities to be redeemed, (iv) the Redemption Price and (v) whether the Company requests the Trustee to give notice of such redemption. In the case of any redemption of Securities (1) prior to the expiration of any restriction on such redemption provided in the terms of such Securities or elsewhere in this Indenture, or (2) pursuant to an election of the Company that is subject to a condition specified in the terms of the Securities of the series to be redeemed, the Company shall furnish the Trustee with an Officer’s Certificate evidencing compliance with such restriction or condition. Redemptions may be conditioned upon the occurrence of conditions precedent with respect to the redemption.</w:t>
      </w:r>
    </w:p>
    <w:p>
      <w:pPr>
        <w:spacing w:after="0" w:line="192" w:lineRule="exact"/>
        <w:rPr>
          <w:sz w:val="20"/>
          <w:szCs w:val="20"/>
          <w:color w:val="auto"/>
        </w:rPr>
      </w:pPr>
    </w:p>
    <w:p>
      <w:pPr>
        <w:jc w:val="both"/>
        <w:ind w:left="4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Selection by Trustee of Securities to Be Redeemed</w:t>
      </w:r>
      <w:r>
        <w:rPr>
          <w:rFonts w:ascii="Times New Roman" w:cs="Times New Roman" w:eastAsia="Times New Roman" w:hAnsi="Times New Roman"/>
          <w:sz w:val="18"/>
          <w:szCs w:val="18"/>
          <w:color w:val="auto"/>
        </w:rPr>
        <w:t>.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40 days prior to the Redemption Date by the Trustee, from the Outstanding Securities of such series not previously called for redemption, by such method as the Trustee shall deem fair and appropriate (or when the Securities are Global Securities, selected pursuant to the Applicable Procedures of the Depositary)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40 days prior to the Redemption Date by the Trustee, from the Outstanding Securities of such series and specified tenor not previously called for redemption in accordance with the preceding sentence.</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74" w:name="page75"/>
    <w:bookmarkEnd w:id="7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Security selected for partial redemption is converted in part before termination of the conversion right with respect to the portion of the Security so selected, the converted portion of such Security shall be deemed (so far as it may be) to be the portion selected for redemption. Securities that have been converted during a selection of Securities to be redeemed shall be treated by the Trustee as Outstanding for the purpose of such selection.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and each Security Registrar in writing of the Securities selected for redemption as aforesaid and, in case of any Securities selected for partial redemption as aforesaid, the principal amount thereof to be redeemed.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that has been or is to be redeemed.</w:t>
      </w:r>
    </w:p>
    <w:p>
      <w:pPr>
        <w:spacing w:after="0" w:line="162" w:lineRule="exact"/>
        <w:rPr>
          <w:sz w:val="20"/>
          <w:szCs w:val="20"/>
          <w:color w:val="auto"/>
        </w:rPr>
      </w:pPr>
    </w:p>
    <w:p>
      <w:pPr>
        <w:jc w:val="both"/>
        <w:ind w:left="15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 of redemption shall be given in the manner provided in Section 106 at least 10 but not more than 60 days prior to the Redemption Date (or within such period as otherwise specified as contemplated by Section 301 for the relevant Securities), to each Holder of Securities to be redeemed, at such Holder’s address appearing in the Security Register; provided, however, notice of redemption may be given more than 60 days prior to the Redemption Date (i) when Securities are to be redeemed pursuant to Article IV of this Indenture, (ii) if the notice is issued in connection with a Covenant Defeasance or Defeasance with respect to the relevant Securities or (iii) as specified in any indenture supplemental hereto applicable to such Securities.</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of redemption shall identify the Securities to be redeemed (including CUSIP numbers, if any) and shall state:</w:t>
      </w:r>
    </w:p>
    <w:p>
      <w:pPr>
        <w:spacing w:after="0" w:line="225" w:lineRule="exact"/>
        <w:rPr>
          <w:sz w:val="20"/>
          <w:szCs w:val="20"/>
          <w:color w:val="auto"/>
        </w:rPr>
      </w:pPr>
    </w:p>
    <w:p>
      <w:pPr>
        <w:ind w:left="2180" w:hanging="876"/>
        <w:spacing w:after="0"/>
        <w:tabs>
          <w:tab w:leader="none" w:pos="2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3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firstLine="644"/>
        <w:spacing w:after="0" w:line="282" w:lineRule="auto"/>
        <w:tabs>
          <w:tab w:leader="none" w:pos="23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each such Security is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precedent for the redemption, if any,</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Securities that by their terms may be converted, the terms of conversion, the date on which the right to convert the Security to be redeemed will terminate and the place or places where such Securities may be surrendered for conversion, and</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Notice of any redemption may, at the Company’s discretion, be subject to one or more conditions precedent. If any such condition precedent has not been satisfied, the Company shall provide written notice to the Trustee prior to the close of business one Business Day prior to the Redemption Date (or such shorter period as may be acceptable to the Trustee). Upon receipt of such notice, the notice of redemption shall be rescinded or delayed, and the redemption of the Notes shall be rescinded or delayed as provided in such notice. Upon receipt, the Trustee shall provide such notice to each Holder in the same manner in which the notice of redemption was given.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notice of redemption need not set forth the exact Redemption Price but only the manner of calculation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62" w:lineRule="exact"/>
        <w:rPr>
          <w:sz w:val="20"/>
          <w:szCs w:val="20"/>
          <w:color w:val="auto"/>
        </w:rPr>
      </w:pPr>
    </w:p>
    <w:p>
      <w:pPr>
        <w:jc w:val="both"/>
        <w:ind w:left="15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Prior to 11:00 A.M., New York City time, on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that are to be redeemed on that date, other than any Securities called for redemption on that date which have been converted prior to the date of such deposit.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Section 307 or in the terms of such Security) be paid to the Company upon Company Request or, if then held by the Company, shall be discharged from such trust.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left="15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 Notice of redemption having been given as aforesaid, unless the conditions precedent described in the notice of redemption for the redemption have not been satisfied,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2" w:lineRule="exact"/>
        <w:rPr>
          <w:sz w:val="20"/>
          <w:szCs w:val="20"/>
          <w:color w:val="auto"/>
        </w:rPr>
      </w:pPr>
    </w:p>
    <w:p>
      <w:pPr>
        <w:jc w:val="both"/>
        <w:ind w:left="15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 Any Security that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and, if applicable, the Guarantors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89" w:lineRule="exact"/>
        <w:rPr>
          <w:sz w:val="20"/>
          <w:szCs w:val="20"/>
          <w:color w:val="auto"/>
        </w:rPr>
      </w:pPr>
    </w:p>
    <w:p>
      <w:pPr>
        <w:jc w:val="both"/>
        <w:ind w:left="15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No Limit on Repurchases</w:t>
      </w:r>
      <w:r>
        <w:rPr>
          <w:rFonts w:ascii="Times New Roman" w:cs="Times New Roman" w:eastAsia="Times New Roman" w:hAnsi="Times New Roman"/>
          <w:sz w:val="18"/>
          <w:szCs w:val="18"/>
          <w:color w:val="auto"/>
        </w:rPr>
        <w:t>. Nothing in this Indenture or the Securities shall prohibit or limit the right of the Company or any Affiliate of the Company to repurchase Securities from time to time at any price in open market purchases or private transactions at negotiated prices, by tender offer or otherwise, in each case without any notice to or consent by Holders. Any Securities purchased by the Company or any Affiliate of the Company may, to the extent permitted by law and at the discretion of the Company, be held, resold or delivered to the Trustee for cancellation. Any such Securities delivered to the Trustee for cancellation may not be resold and shall be disposed of as directed by Company Order.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07" w:lineRule="exact"/>
        <w:rPr>
          <w:sz w:val="20"/>
          <w:szCs w:val="20"/>
          <w:color w:val="auto"/>
        </w:rPr>
      </w:pPr>
    </w:p>
    <w:p>
      <w:pPr>
        <w:ind w:left="154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The provisions of this Article shall be applicable to any sinking fund for the retirement of Securities of any series except as otherwise specified as contemplated by Section 301 for such Securities.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any Securities is herein referred to as a “</w:t>
      </w:r>
      <w:r>
        <w:rPr>
          <w:rFonts w:ascii="Times New Roman" w:cs="Times New Roman" w:eastAsia="Times New Roman" w:hAnsi="Times New Roman"/>
          <w:sz w:val="18"/>
          <w:szCs w:val="18"/>
          <w:b w:val="1"/>
          <w:bCs w:val="1"/>
          <w:i w:val="1"/>
          <w:iCs w:val="1"/>
          <w:color w:val="auto"/>
        </w:rPr>
        <w:t>mandatory sinking 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and any payment in excess of such minimum amount provided for by the terms of such Securities is herein referred to as an “</w:t>
      </w:r>
      <w:r>
        <w:rPr>
          <w:rFonts w:ascii="Times New Roman" w:cs="Times New Roman" w:eastAsia="Times New Roman" w:hAnsi="Times New Roman"/>
          <w:sz w:val="18"/>
          <w:szCs w:val="18"/>
          <w:b w:val="1"/>
          <w:bCs w:val="1"/>
          <w:i w:val="1"/>
          <w:iCs w:val="1"/>
          <w:color w:val="auto"/>
        </w:rPr>
        <w:t>optional sinking fund payment</w:t>
      </w:r>
      <w:r>
        <w:rPr>
          <w:rFonts w:ascii="Times New Roman" w:cs="Times New Roman" w:eastAsia="Times New Roman" w:hAnsi="Times New Roman"/>
          <w:sz w:val="18"/>
          <w:szCs w:val="18"/>
          <w:color w:val="auto"/>
        </w:rPr>
        <w:t>.” If provided for by the terms of any Securities, the cash amount of any sinking fund payment may be subject to reduction as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1202. Each sinking fund payment shall be applied to the redemption of Securities as provided for by the terms of such Securities.</w:t>
      </w:r>
    </w:p>
    <w:p>
      <w:pPr>
        <w:spacing w:after="0" w:line="180" w:lineRule="exact"/>
        <w:rPr>
          <w:sz w:val="20"/>
          <w:szCs w:val="20"/>
          <w:color w:val="auto"/>
        </w:rPr>
      </w:pPr>
    </w:p>
    <w:p>
      <w:pPr>
        <w:jc w:val="both"/>
        <w:ind w:left="15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 The Company (1) may deliver Outstanding Securities of a series (other than any previously called for redemption) and (2) may apply as a credit Securities of a series that have been converted in accordance with their terms or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(or at such other prices as may be specified for such Securities as contemplated in Section 301), for redemption through operation of the sinking fund and the amount of such sinking fund payment shall be reduced accordingly.</w:t>
      </w:r>
    </w:p>
    <w:p>
      <w:pPr>
        <w:spacing w:after="0" w:line="194" w:lineRule="exact"/>
        <w:rPr>
          <w:sz w:val="20"/>
          <w:szCs w:val="20"/>
          <w:color w:val="auto"/>
        </w:rPr>
      </w:pPr>
    </w:p>
    <w:p>
      <w:pPr>
        <w:jc w:val="both"/>
        <w:ind w:left="15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 Not less than 45 days (or such shorter period as shall be satisfactory to the Trustee) prior to each sinking fund payment date for any Securities, the Company will deliver to the Trustee an Officer’s Certificate specifying the amount of the next ensuing sinking fund payment for such Securities pursuant to the terms of such Securities, the portion thereof, if any, that is to be satisfied by payment of cash and the portion thereof, if any, that is to be satisfied by delivering and crediting Securities pursuant to Section 1202 and will also deliver to the Trustee any Securities to be so delivered. Not less than 30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 1106 and Section 1107.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207" w:lineRule="exact"/>
        <w:rPr>
          <w:sz w:val="20"/>
          <w:szCs w:val="20"/>
          <w:color w:val="auto"/>
        </w:rPr>
      </w:pPr>
    </w:p>
    <w:p>
      <w:pPr>
        <w:ind w:left="2200"/>
        <w:spacing w:after="0"/>
        <w:tabs>
          <w:tab w:leader="none" w:pos="3380" w:val="left"/>
        </w:tabs>
        <w:rPr>
          <w:sz w:val="20"/>
          <w:szCs w:val="20"/>
          <w:color w:val="auto"/>
        </w:rPr>
      </w:pPr>
      <w:r>
        <w:rPr>
          <w:rFonts w:ascii="Times New Roman" w:cs="Times New Roman" w:eastAsia="Times New Roman" w:hAnsi="Times New Roman"/>
          <w:sz w:val="18"/>
          <w:szCs w:val="18"/>
          <w:color w:val="auto"/>
        </w:rPr>
        <w:t>Section 1301</w:t>
      </w:r>
      <w:r>
        <w:rPr>
          <w:sz w:val="20"/>
          <w:szCs w:val="20"/>
          <w:color w:val="auto"/>
        </w:rPr>
        <w:tab/>
      </w:r>
      <w:r>
        <w:rPr>
          <w:rFonts w:ascii="Times New Roman" w:cs="Times New Roman" w:eastAsia="Times New Roman" w:hAnsi="Times New Roman"/>
          <w:sz w:val="17"/>
          <w:szCs w:val="17"/>
          <w:u w:val="single" w:color="auto"/>
          <w:color w:val="auto"/>
        </w:rPr>
        <w:t>Company’s Option to Effect Defeasance or Covenant Defeasance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designated pursuant to Section 301, the Securities of any series of Securities shall be subject to defeasance or covenant defeasance pursuant to such Section 1302 or Section 1303, in accordance with any applicable requirements provided pursuant to Section 301 and upon compliance with the conditions set forth below in this Article. The Company may elect, at its option, at any time, to have Section 1302 or Section 1303 applied to any Securities or any series of Securities so subject to Defeasance or Covenant Defeasance. Any such election shall be evidenced by a Board Resolution or in another manner specified as contemplated by Section 301 for such Securities.</w:t>
      </w:r>
    </w:p>
    <w:p>
      <w:pPr>
        <w:spacing w:after="0" w:line="183" w:lineRule="exact"/>
        <w:rPr>
          <w:sz w:val="20"/>
          <w:szCs w:val="20"/>
          <w:color w:val="auto"/>
        </w:rPr>
      </w:pPr>
    </w:p>
    <w:p>
      <w:pPr>
        <w:jc w:val="both"/>
        <w:ind w:left="15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Defeasance and Discharge</w:t>
      </w:r>
      <w:r>
        <w:rPr>
          <w:rFonts w:ascii="Times New Roman" w:cs="Times New Roman" w:eastAsia="Times New Roman" w:hAnsi="Times New Roman"/>
          <w:sz w:val="18"/>
          <w:szCs w:val="18"/>
          <w:color w:val="auto"/>
        </w:rPr>
        <w:t>. Upon the Company’s exercise of its option (if any) to have this Section 1302 applied to any Securities or any series of Securities, as the case may be, the Company shall be deemed to have been discharged from its obligations with respect to such Securities as provided in this Section 1302 on and after the date the conditions set forth in Section 1304 are satisfied (hereinafter called “</w:t>
      </w:r>
      <w:r>
        <w:rPr>
          <w:rFonts w:ascii="Times New Roman" w:cs="Times New Roman" w:eastAsia="Times New Roman" w:hAnsi="Times New Roman"/>
          <w:sz w:val="18"/>
          <w:szCs w:val="18"/>
          <w:b w:val="1"/>
          <w:bCs w:val="1"/>
          <w:i w:val="1"/>
          <w:iCs w:val="1"/>
          <w:color w:val="auto"/>
        </w:rPr>
        <w:t>Defeasance</w:t>
      </w:r>
      <w:r>
        <w:rPr>
          <w:rFonts w:ascii="Times New Roman" w:cs="Times New Roman" w:eastAsia="Times New Roman" w:hAnsi="Times New Roman"/>
          <w:sz w:val="18"/>
          <w:szCs w:val="18"/>
          <w:color w:val="auto"/>
        </w:rPr>
        <w:t>”). For this purpose, such Defeasance means that the Company and the Guarantors of the Securities shall be deemed to have paid and discharged the entire indebtedness represented by such Securities and to have satisfied all their other respective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1304(1) and as more fully set forth in such Section, payments in respect of the principal of and any premium and interest on such Securities when payments are due, or, if applicable, to convert such Securities in accordance with their terms, (2) the obligations of the Company with respect to such Securities under Section 304, Section 305, Section 306, Section 1002 and Section 1003, and, if applicable, their obligations with respect to the conversion of such Securities, (3) the rights, powers, trusts, duties and immunities of the Trustee hereunder and (4) this Article. If the Company exercises its Defeasance option, payment of the Securities may not be accelerated because of an Event of Default with respect to the Securities. Subject to compliance with this Article, the Company may exercise its option (if any) to have this Section 1302 applied to any Securities notwithstanding the prior exercise of its option (if any) to have Section 1303 applied to such Securities. Upon the effectiveness of Defeasance with respect to any series of Securities, each Guarantor of the Securities of such series shall be automatically and unconditionally released and discharged from all of its obligations under its Guarantee of the Securities of such series and all of its other obligations under this Indenture in respect of the Securities of such series, without any action by the Company, any Guarantor or the Trustee and without the consent of the Holders of any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both"/>
        <w:ind w:left="884"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Company’s exercise of its option (if any) to have this Section 1303 applied to any Securities or any series of Securities, as the case may be, (1) the Company shall be released from its obligations under Section 1004 and any covenants provided pursuant to Section 301(18), Section 901(2), Section 901(6) or Section 901(7) for the benefit of the Holders of such Securities and (2) the occurrence of any event specified in Section 501(4) (with respect to Section 1004 and any such covenants provided pursuant to Section 301(18), Section 901(2), Section 901(6) or Section 901(7) and Section 501(8) shall be deemed not to be or result in an Event of Default, in each case with respect to such Securities as provided in this Section 1303 on and after the date the conditions set forth in Section 1304 are satisfied (hereinafter called “</w:t>
      </w:r>
      <w:r>
        <w:rPr>
          <w:rFonts w:ascii="Times New Roman" w:cs="Times New Roman" w:eastAsia="Times New Roman" w:hAnsi="Times New Roman"/>
          <w:sz w:val="18"/>
          <w:szCs w:val="18"/>
          <w:b w:val="1"/>
          <w:bCs w:val="1"/>
          <w:i w:val="1"/>
          <w:iCs w:val="1"/>
          <w:color w:val="auto"/>
        </w:rPr>
        <w:t>Covenant Defeasance</w:t>
      </w:r>
      <w:r>
        <w:rPr>
          <w:rFonts w:ascii="Times New Roman" w:cs="Times New Roman" w:eastAsia="Times New Roman" w:hAnsi="Times New Roman"/>
          <w:sz w:val="18"/>
          <w:szCs w:val="18"/>
          <w:color w:val="auto"/>
        </w:rPr>
        <w:t>”)). For this purpose, such Covenant Defeasance means that, with respect to such Securities, the Company and any Guarantor may omit to comply with and shall have no liability in respect of any term, condition or limitation set forth in any such specified Section (to the extent so specified in the case of Section 501(4)), whether directly or indirectly by reason of any reference elsewhere herein to any such Section or by reason of any reference in any such Section to any other provision herein or in any other document, but the remainder of this Indenture and such Securities thereof shall be unaffected thereby. If the Company exercises its Covenant Defeasance option, payment of the Securities may not be accelerated because of, and a default or Event of Default shall be deemed not to exist as a result of or to arise out of, an Event of Default with respect to the failure of the Company to comply with any covenants provided pursuant to Section 301(18), Section 901(2), Section 901(6) or Section 901(7). Upon the effectiveness of Covenant Defeasance with respect to any series of Securities, each Guarantor of the Securities of such series shall be automatically and unconditionally released and discharged from all of its obligations under its Guarantee of the Securities of such series and all of its other obligations under this Indenture in respect of the Securities of such series, without any action by the Company, any Guarantor or the Trustee and without the consent of the Holders of any Securities.</w:t>
      </w:r>
    </w:p>
    <w:p>
      <w:pPr>
        <w:spacing w:after="0" w:line="191" w:lineRule="exact"/>
        <w:rPr>
          <w:sz w:val="20"/>
          <w:szCs w:val="20"/>
          <w:color w:val="auto"/>
        </w:rPr>
      </w:pPr>
    </w:p>
    <w:p>
      <w:pPr>
        <w:jc w:val="both"/>
        <w:ind w:left="884"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 The following shall be the conditions to the application of Section 1302 or Section 1303 to any Securities or any series of Securities, as the case may be:</w:t>
      </w:r>
    </w:p>
    <w:p>
      <w:pPr>
        <w:spacing w:after="0" w:line="162" w:lineRule="exact"/>
        <w:rPr>
          <w:sz w:val="20"/>
          <w:szCs w:val="20"/>
          <w:color w:val="auto"/>
        </w:rPr>
      </w:pPr>
    </w:p>
    <w:p>
      <w:pPr>
        <w:jc w:val="both"/>
        <w:ind w:left="4" w:firstLine="644"/>
        <w:spacing w:after="0" w:line="257" w:lineRule="auto"/>
        <w:tabs>
          <w:tab w:leader="none" w:pos="157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and dedicated solely to, the benefits of the Holders of such Securities, (A) money in an amount, or</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9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which through the scheduled payment of principal and interest in respect thereof in accordance with their terms will provide, not later than one day before the due date of any payment, money in an amount, or (C) such other obligations or arrangements as may be specified as contemplated by Section 301 with respect to such Securities, or (D) a combination thereof, in each case sufficient (except in the case of clause (A), in the opinion of a nationally recognized firm of independent public accountants expressing its opinion (or if a nationally recognized independent accounting firm declines or refuses to express such opinion, a certificate from the chief financial officer of the Company expressing his or her opinion) that the payments of principal and interest when due and without reinvestment on the deposited U.S. Government Obligations plus any deposited money without investment shall provide cash at such times and in such amounts as shall be sufficient to pay principal, premium, if any, and interest when due on all the Securities to maturity or redemption, as the case may be,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w:t>
      </w:r>
      <w:r>
        <w:rPr>
          <w:rFonts w:ascii="Times New Roman" w:cs="Times New Roman" w:eastAsia="Times New Roman" w:hAnsi="Times New Roman"/>
          <w:sz w:val="18"/>
          <w:szCs w:val="18"/>
          <w:b w:val="1"/>
          <w:bCs w:val="1"/>
          <w:i w:val="1"/>
          <w:iCs w:val="1"/>
          <w:color w:val="auto"/>
        </w:rPr>
        <w:t>U.S. Government Obligation</w:t>
      </w:r>
      <w:r>
        <w:rPr>
          <w:rFonts w:ascii="Times New Roman" w:cs="Times New Roman" w:eastAsia="Times New Roman" w:hAnsi="Times New Roman"/>
          <w:sz w:val="18"/>
          <w:szCs w:val="18"/>
          <w:color w:val="auto"/>
        </w:rPr>
        <w:t>” means (x) any security that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0" w:name="page81"/>
    <w:bookmarkEnd w:id="80"/>
    <w:p>
      <w:pPr>
        <w:jc w:val="both"/>
        <w:ind w:left="-460" w:firstLine="644"/>
        <w:spacing w:after="0" w:line="255"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election to have Section 1302 apply to any Securities or any series of Securities, as the case may be, the Company shall have delivered to the Trustee an Opinion of Counsel (subject to customary assumptions and exclusions)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election to have Section 1303 apply to any Securities or any series of Securities, as the case may be, the Company shall have delivered to the Trustee an Opinion of Counsel (subject to customary assumptions and exclusions)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1" w:name="page82"/>
    <w:bookmarkEnd w:id="81"/>
    <w:p>
      <w:pPr>
        <w:jc w:val="both"/>
        <w:ind w:left="660" w:firstLine="644"/>
        <w:spacing w:after="0" w:line="261" w:lineRule="auto"/>
        <w:tabs>
          <w:tab w:leader="none" w:pos="22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with respect to such Securities or any other Securities (other than such an Event of Default with respect to such Securities resulting solely from the incurrence of indebtedness or other borrowing of funds, or the grant of liens securing such indebtedness or other borrowing, all or a portion of which are to be applied to such deposit) shall have occurred and be continuing at the time of such deposit.</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1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of, or constitute a default under, any other agreement or instrument (other than this Indenture insofar as such Securities are concerned) to which the Company is a party or by which it is bound.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4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preferring the Holders of such Securities over the other creditors of the Company or with the intent of defeating, hindering, delaying or defrauding creditors of the Company.</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3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Upon satisfaction of the conditions set forth herein and upon request of the Company, the Trustee shall acknowledge in writing the discharge of those obligations that the Company terminates.</w:t>
      </w:r>
    </w:p>
    <w:p>
      <w:pPr>
        <w:spacing w:after="0" w:line="162" w:lineRule="exact"/>
        <w:rPr>
          <w:sz w:val="20"/>
          <w:szCs w:val="20"/>
          <w:color w:val="auto"/>
        </w:rPr>
      </w:pPr>
    </w:p>
    <w:p>
      <w:pPr>
        <w:jc w:val="both"/>
        <w:ind w:left="15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Deposited Money and U.S. Government Obligations to Be Held in Trust; Miscellaneous Provisions</w:t>
      </w:r>
      <w:r>
        <w:rPr>
          <w:rFonts w:ascii="Times New Roman" w:cs="Times New Roman" w:eastAsia="Times New Roman" w:hAnsi="Times New Roman"/>
          <w:sz w:val="18"/>
          <w:szCs w:val="18"/>
          <w:color w:val="auto"/>
        </w:rPr>
        <w:t>. Subject to the provisions of the last paragraph of Section 1003, all money, U.S. Government Obligations and other obligations (including the proceeds thereof) deposited with the Trustee or other qualifying trustee (solely for purposes of this Section 1305 and Section 1306, the Trustee and any such other trustee are referred to collectively as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or any Guarantor of the Securities of the applicable series or any Subsidiary or Affiliate of the Company or any such Guarantor acting as Paying Agent) as the Trustee may determine, to the Holders of such Securities, of all sums due and to become due thereon in respect of principal and any premium and interest, but money and U.S. Government Obligations so held in trust need not be segregated from other funds except to the extent required by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Anything in this Article to the contrary notwithstanding, the Trustee shall deliver or pay to the Company from time to time upon Company Request any money, U.S. Government Obligations or other obligations held by it as provided in Section 1304 with respect to any Securities that are in excess of the amount thereof which would then be required to be deposited to effect the Defeasance or Covenant Defeasance, as the case may be, with respect to such Securities.</w:t>
      </w:r>
    </w:p>
    <w:p>
      <w:pPr>
        <w:spacing w:after="0" w:line="180" w:lineRule="exact"/>
        <w:rPr>
          <w:sz w:val="20"/>
          <w:szCs w:val="20"/>
          <w:color w:val="auto"/>
        </w:rPr>
      </w:pPr>
    </w:p>
    <w:p>
      <w:pPr>
        <w:jc w:val="both"/>
        <w:ind w:left="15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If the Trustee or the Paying Agent is unable to apply any money in accordance with this Article with respect to any Securities by reason of any order or judgment of any court or governmental authority enjoining, restraining or otherwise prohibiting such application, then the respective obligations under this Indenture and such Securities and, if applicable, Guarantees of such Securities from which the Company and the applicable Guarantors have been discharged or released pursuant to Section 1302 or Section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or any Guarantor makes any payment of principal of or any premium or interest on any such Security following such reinstatement of its obligations, the Company or such Guarantor, as the case may be, shall be subrogated to the rights (if any) of the Holders of such Securities to receive such payment from the money so held in trust.</w:t>
      </w:r>
    </w:p>
    <w:p>
      <w:pPr>
        <w:spacing w:after="0" w:line="19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GUARANTEES</w:t>
      </w:r>
    </w:p>
    <w:p>
      <w:pPr>
        <w:spacing w:after="0" w:line="207" w:lineRule="exact"/>
        <w:rPr>
          <w:sz w:val="20"/>
          <w:szCs w:val="20"/>
          <w:color w:val="auto"/>
        </w:rPr>
      </w:pPr>
    </w:p>
    <w:p>
      <w:pPr>
        <w:jc w:val="both"/>
        <w:ind w:left="15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Securities of any series that are to be guaranteed by the Guarantees of any Guarantors shall be guaranteed by such Guarantors as shall be established pursuant to Section 301 with respect to the Securities of such series. The Persons who shall initially be the Guarantors of the Securities of any such series may include any and all such Persons as the Company may determine; provided that, prior to the authentication and delivery upon original issuance of Securities that are to be guaranteed by a Person, the Company, the Trustee and such Person shall enter into a supplemental indenture pursuant to Section 901 hereof whereby such Person shall become a Guarantor under this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Securities of any series that are to be guaranteed by the Guarantees of any Guarantors shall be guaranteed in accordance with the terms of such Guarantees as established pursuant to Section 301 with respect to such Securities and such Guarantees thereof and (except as otherwise specified as contemplated by Section 301 for such Securities and such Guarantees thereof) in accordance with this Article.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Guarantor of any Security hereby fully and unconditionally guarantees to each Holder of such Security, and to the Trustee on behalf of such Holder, the due and punctual payment of the principal of, and premium, if any, and interest, if any, on such Security when and as the same shall become due and payable, whether at the Stated Maturity, by declaration of acceleration, call for redemption or otherwise, in accordance with the terms of such Security and of this Indenture. In case of the failure of the Company punctually to make any such payment, such Guarantor hereby agrees to cause such payment to be made punctually when and as the same shall become due and payable, whether at the Stated Maturity or by acceleration, call for redemption or otherwise, and as if such payment were made by the Company.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Guarantor of any Security hereby agrees that its obligations hereunder shall be absolute and unconditional irrespective of, and shall be unaffected by, any invalidity, irregularity or unenforceability of such Security or this Indenture, any failure to enforce the provisions of such Security or this Indenture, or any waiver, modification or indulgence granted to the Company with respect thereto, by the Holder of such Security or the Trustee or any other circumstance that may otherwise constitute a legal or equitable discharge or defense of a surety or guarantor; provided, however, that, notwithstanding the foregoing, no such waiver, modification or indulgence shall, without the consent of any Guarantor, increase the principal amount of such Security, or increase the interest rate thereon, change any redemption provisions thereof (including any change to increase any premium payable upon redemption thereof) or change the Stated Maturity of any payment thereon, or increase the principal amount of any Original Issue Discount Security that would be due and payable upon acceleration or the maturity thereof pursuant to Section 502 of this Indenture.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Guarantor of any Security hereby waives the benefits of diligence, presentment, demand for payment, any requirement that the Trustee or any of the Holders exhaust any right or take any action against the Company or any other Person, filing of claims with a court in the event of insolvency or bankruptcy of the Company, any right to require a proceeding first against the Company, protest or notice with respect to any Security or the indebtedness evidenced thereby and all demands whatsoever, and covenants that its obligations hereunder will not be discharged in respect of such Security except by complete performance of the obligations of such Guarantor contained in such Security and in this Indenture. Any Guarantee of any Guarantor hereunder shall constitute a guaranty of payment and not of collection. The Guarantor of any Security hereby agrees that, in the event of a default in payment of principal, or premium, if any, or interest, if any, on such Security, whether at its Stated Maturity, by acceleration, call for redemption or otherwise, legal proceedings may be instituted by the Trustee on behalf of, or by, the Holder of such Security, subject to the terms and conditions set forth in this Indenture, directly against such Guarantor to enforce the obligation of such Guarantor hereunder without first proceeding against the Company.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Guarantee by any Guarantor of any Security shall remain in full force and effect and continue notwithstanding any petition filed by or against the Company for liquidation or reorganization, the Company becoming insolvent or making an assignment for the benefit of creditors or a receiver or trustee being appointed for all or any significant part of the Company’s assets, and shall, to the fullest extent permitted by law, continue to be effective or reinstated, as the case may be, if at any time payment of such Security, is, pursuant to applicable law, rescinded or reduced in amount, or must otherwise be restored or returned by any Holder of such Security, whether as a “voidable preference,” “fraudulent transfer,” or otherwise, all as though such payment or performance had not been made. In the event that any payment, or any part thereof, is rescinded, reduced, restored or returned on a Security, such Security shall, to the fullest extent permitted by law, be reinstated and deemed paid only by such amount paid and not so rescinded, reduced, restored or returned.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Guarantor shall consolidate with or merge with or into, or sell, convey, transfer or lease all or substantially all of its properties and assets on a consolidated basis to any Person, in each case in a transaction in which the successor Person formed by such consolidation or merger or to which such sale, conveyance, transfer or lease is made is an Affiliate of the Company (other than the Company or the Guarantor), unless, in any such case:</w:t>
      </w:r>
    </w:p>
    <w:p>
      <w:pPr>
        <w:spacing w:after="0" w:line="172" w:lineRule="exact"/>
        <w:rPr>
          <w:sz w:val="20"/>
          <w:szCs w:val="20"/>
          <w:color w:val="auto"/>
        </w:rPr>
      </w:pPr>
    </w:p>
    <w:p>
      <w:pPr>
        <w:ind w:left="660" w:firstLine="644"/>
        <w:spacing w:after="0" w:line="286" w:lineRule="auto"/>
        <w:tabs>
          <w:tab w:leader="none" w:pos="20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w:t>
      </w:r>
      <w:r>
        <w:rPr>
          <w:rFonts w:ascii="Times New Roman" w:cs="Times New Roman" w:eastAsia="Times New Roman" w:hAnsi="Times New Roman"/>
          <w:sz w:val="18"/>
          <w:szCs w:val="18"/>
          <w:b w:val="1"/>
          <w:bCs w:val="1"/>
          <w:i w:val="1"/>
          <w:iCs w:val="1"/>
          <w:color w:val="auto"/>
        </w:rPr>
        <w:t>Successor Guarantor</w:t>
      </w:r>
      <w:r>
        <w:rPr>
          <w:rFonts w:ascii="Times New Roman" w:cs="Times New Roman" w:eastAsia="Times New Roman" w:hAnsi="Times New Roman"/>
          <w:sz w:val="18"/>
          <w:szCs w:val="18"/>
          <w:color w:val="auto"/>
        </w:rPr>
        <w:t>”) shall be a corporation, limited liability company, partnership, trust, or other entity organized and validly existing under the laws of the United States, any State thereof or the District of Columbia;</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Guarantor (if not the predecessor Guarantor) shall expressly assume, by supplemental indenture, executed and delivered to the Trustee, in form reasonably satisfactory to the Trustee, the performance or observance of every covenant of this Indenture and any Guarantees on the part of such Guarantor to be performed or observed;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8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Guarantor has delivered to the Trustee a Guarantor’s Officer’s Certificate and an Opinion of Counsel, each stating that such consolidation, merger, sale, conveyance, transfer or lease and, if a supplemental indenture is required in connection with such transaction, such supplemental indenture comply with this Article and that all conditions precedent provided for in this Indenture relating to such transaction have been complied with.</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any consolidation of any Guarantor with, or merger of such Guarantor with or into, or any sale, conveyance, transfer or lease of all or substantially all the properties and assets of such Guarantor on a consolidated basis to, any Person, in each case in accordance with this paragraph, the Successor Guarantor shall succeed to, and be substituted for, and may exercise every right and power of, such Guarantor under this Indenture with the same effect as if the Successor Guarantor had been named as such Guarantor herein, and thereafter the predecessor Guarantor shall be relieved of all obligations and covenants under this Indenture and any Guarantees of such Guarantor, except in the case of a lease of all or substantially all of the properties and assets of the Guarantor on a consolidated basis, in which case the predecessor Guarantor shall not be released from the obligation to pay the principal of, any premium on, and interest on the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Each Guarantor shall be released and discharged automatically and unconditionally from all its obligations under this Indenture and its Guarantees with respect to a series of Securities, and will cease to be a Guarantor with respect to such Securities, without further action required on the part of the Trustee or any Holder, (a) in the case of a Guarantor that is a Subsidiary of the Company, in the event the Guarantor is sold or disposed of (whether by merger, consolidation, the sale of a sufficient amount of its (or an intermediate holding company’s) capital stock so that it no longer constitutes a Subsidiary of the Company or the sale of all or substantially all of its properties and assets on a consolidated basis (other than by lease)), and whether or not the Guarantor is the surviving entity in such transaction, to a Person that is not (and does not thereupon become) the Company or a Subsidiary of the Company,</w:t>
      </w:r>
    </w:p>
    <w:p>
      <w:pPr>
        <w:spacing w:after="0" w:line="5" w:lineRule="exact"/>
        <w:rPr>
          <w:sz w:val="20"/>
          <w:szCs w:val="20"/>
          <w:color w:val="auto"/>
        </w:rPr>
      </w:pPr>
    </w:p>
    <w:p>
      <w:pPr>
        <w:jc w:val="both"/>
        <w:ind w:firstLine="8"/>
        <w:spacing w:after="0" w:line="251" w:lineRule="auto"/>
        <w:tabs>
          <w:tab w:leader="none" w:pos="2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Covenant Defeasance or Defeasance pursuant to Article XIII or satisfaction and discharge of the Securities of that series pursuant to Article IV, or (c) if no Event of Default has occurred and is then continuing, upon the liquidation or dissolution of the Guarantor. The Trustee shall deliver an appropriate instrument evidencing such release and discharge upon receipt of a Company Request accompanied by an Officer’s Certificate certifying as to the compliance with this paragraph of Section 1401. The Company may, at its option, at any time and from time to time, cause any Guarantor to be automatically and unconditionally released and discharged from all its obligations under its Guarantees with respect to Securities of any series guaranteed by Guarantees of such Guarantor and under this Indenture upon (i) any conditions for such release provided with respect to Securities of such series in accordance with Section 301 having been satisfied and (ii) delivery by the Company to the Trustee of a Company Order relating to such release and discharge. The Trustee shall deliver an appropriate instrument evidencing such release and discharge upon receipt of a Company Request accompanied by an Officer’s Certificate certifying as to the compliance with this paragraph of Section 1401.</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Anything in this Indenture, the Securities or any Guarantee to the contrary notwithstanding, the obligations of any Guarantor under its Guarantees and this Indenture shall be limited to the maximum amount as will, after giving effect to all other contingent and fixed liabilities of such Guarantor, result in the obligations of such Guarantor under its Guarantees and this Indenture not constituting a fraudulent advance or fraudulent transfer under any Bankruptcy Law, the Uniform Fraudulent Conveyance Act, the Uniform Fraudulent Transfer Act or any similar federal, state or other law affecting the rights of creditors generally.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Guarantee by any Guarantor of any Security, whether or not such Guarantee is or is to be endorsed thereon, shall be valid and obligatory for any purpose with respect to such Security until the certificate of authentication on such Security shall have been signed by or on behalf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instrument may be executed in any number of counterparts, each of which so executed shall be deemed to be an original, but all such counterparts shall together constitute but one and the same instrument. Delivery of an executed counterpart of this Indenture by facsimile or electronic transmission shall be equally as effective as delivery of an original executed counterpart of this Indenture. Any party delivering an executed counterpart of this Indenture by facsimile or electronic transmission also shall deliver an original executed counterpart of this Indenture, but failure to deliver an original executed counterpart shall not affect the validity, enforceability and binding effect of this Indenture.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day and year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225"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Teresa L. Dick</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Executive Vice President, Chief Accounting Officer and Assistant</w:t>
            </w:r>
          </w:p>
        </w:tc>
      </w:tr>
      <w:tr>
        <w:trPr>
          <w:trHeight w:val="234"/>
        </w:trPr>
        <w:tc>
          <w:tcPr>
            <w:tcW w:w="560" w:type="dxa"/>
            <w:vAlign w:val="bottom"/>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Indenture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7" w:name="page88"/>
    <w:bookmarkEnd w:id="87"/>
    <w:p>
      <w:pPr>
        <w:ind w:left="4520"/>
        <w:spacing w:after="0" w:line="282" w:lineRule="auto"/>
        <w:rPr>
          <w:sz w:val="20"/>
          <w:szCs w:val="20"/>
          <w:color w:val="auto"/>
        </w:rPr>
      </w:pPr>
      <w:r>
        <w:rPr>
          <w:rFonts w:ascii="Times New Roman" w:cs="Times New Roman" w:eastAsia="Times New Roman" w:hAnsi="Times New Roman"/>
          <w:sz w:val="18"/>
          <w:szCs w:val="18"/>
          <w:color w:val="auto"/>
        </w:rPr>
        <w:t>COMPUTERSHARE TRUST COMPANY, NATIONAL ASSOCIATION, as Trustee</w:t>
      </w:r>
    </w:p>
    <w:p>
      <w:pPr>
        <w:spacing w:after="0" w:line="16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Niki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Niki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Indenture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4" w:right="37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the Company</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DIAMONDBACK E&amp;P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the Subsidiary Guarantor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COMPUTERSHARE TRUST COMPANY, NATIONAL ASSOCIATION,</w:t>
      </w:r>
    </w:p>
    <w:p>
      <w:pPr>
        <w:spacing w:after="0" w:line="23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as the Trustee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6.250% Senior Notes due 2053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191135</wp:posOffset>
            </wp:positionV>
            <wp:extent cx="17830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208280</wp:posOffset>
            </wp:positionV>
            <wp:extent cx="1783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FIRST SUPPLEMENTAL 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 December 13, 2022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Dated as of December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191135</wp:posOffset>
            </wp:positionV>
            <wp:extent cx="17830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208280</wp:posOffset>
            </wp:positionV>
            <wp:extent cx="17830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688340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718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00" w:type="dxa"/>
            <w:vAlign w:val="bottom"/>
          </w:tcPr>
          <w:p>
            <w:pPr>
              <w:spacing w:after="0"/>
              <w:rPr>
                <w:sz w:val="20"/>
                <w:szCs w:val="20"/>
                <w:color w:val="auto"/>
              </w:rPr>
            </w:pPr>
          </w:p>
        </w:tc>
      </w:tr>
      <w:tr>
        <w:trPr>
          <w:trHeight w:val="432"/>
        </w:trPr>
        <w:tc>
          <w:tcPr>
            <w:tcW w:w="17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SCOPE OF SUPPLEMENTAL INDENTURE; GENERAL; THE NOTES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1.1.    Scope of Supplemental Indenture; General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1.2.    Applicability of Sections of the Base Indenture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1.3.    Form, Dating and Terms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1.4.</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Notes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CERTAIN DEFINITIONS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1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Definitions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1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Optional Redemption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3.2.    Sinking Fund; Mandatory Redemption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Provisions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4.1.    Limitation on Liens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4.2.</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4.3.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Unrestricted Subsidiaries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CONSOLIDATION, MERGER, SALE, CONVEYANCE, TRANSFER OR LEASE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Events of Default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6.2.    Acceleration of Maturity; Rescission and Annulment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SATISFACTION AND DISCHARGE; DEFEASANCE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AMENDMENT, SUPPLEMENT AND WAIVER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8.1.    Without Consent of Holders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8.2.    With Consent of Holders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8.3.</w:t>
            </w: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8.4.    Compliance with Trust Indenture Act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8.5.    Revocation and Effect of Consents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8.6.    Notation on or Exchange of Notes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8.7.    Effect of Supplemental Indenture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SUBSIDIARY GUARANTEE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9.1.    Release of a Guarantor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8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9.2.    Guarantee Evidenced by Indenture; No Notation of Guarantee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1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10.2.</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10.3.</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Multiple Originals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10.4.</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Paying Agent and Security Registrar</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10.5.</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10.6.</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10.7.</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Table of Contents; Headings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10.8.</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10.9.</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Ratification and Incorporation of Base Indenture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10.10.</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Benefits of Supplemental Indenture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Form of Note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1" w:name="page92"/>
    <w:bookmarkEnd w:id="9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FIRST SUPPLEMENTAL INDENTURE dated as of December 13, 2022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by and among DIAMONDBACK ENERGY, INC., a Delaware corporation (referred to herein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DIAMONDBACK E&amp;P LLC, a Delaware limited liability company, as the  Subsidiary Guarantor (as defined below), and Computershare Trust Company, National Association, as trustee (referred to herein as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supplementing the Indenture dated as of December 13, 2022, by and between the Company and the Trustee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as supplemented by this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parties and for the equal and ratable benefit of the Holders of Notes (as such terms are defined herein):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Company has duly authorized the execution and delivery of the Base Indenture to provide for the issuance from time to time of the Company’s Securities to be issued in one or more series as provided in the Indenture;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Base Indenture has been duly authorized, executed and delivered by the Company and the Trustee;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WHEREAS, Section 901 of the Base Indenture provides that the Company, each Guarantor (if any) and the Trustee may, without the consent of any Holder, enter into a supplemental indenture: (i) in accordance with clause (7) thereof, to establish the form and terms of Securities of any series and any Guarantees thereof as permitted by the Base Indenture; (ii) in accordance with clause (5) thereof, to add to, change, or eliminate any of the provisions of the Base Indenture in respect of one or more series of Securities or any Guarantees thereof, provided that any such addition, change, or elimination (x) will neither (A) apply to any Security of any series created prior to the execution of such supplemental indenture and entitled to the benefit of such provision nor (B) modify the rights of the Holder of any such Security with respect to such provision or (y) will become effective only when there is no such Security Outstanding; and (iii) in accordance with clause (10) thereof, to add any Person as a Guarantor under the Base Indenture;</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WHEREAS, the Company has duly authorized the issue of its 6.250% Senior Notes due 2053 as a series of Securities under the Base Indenture (as they may be issued from time to time under this Supplemental Indenture, including any Additional Notes (as defined below) issued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this Supplemental Indenture,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in connection therewith, there being no Notes Outstanding at the time of execution and delivery of this Supplemental Indenture, the Company has duly determined to make, execute and deliver this Supplemental Indenture to establish the form and terms of the Notes and the Guarantee thereof as required by the Base Indenture, to add to, change and eliminate certain provisions of the Base Indenture in respect of the Notes and the Guarantee thereof, and to add the Subsidiary Guarantor as a Guarantor of the Notes;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WHEREAS, the Company and the Subsidiary Guarantor have duly authorized the execution and delivery of this Supplemental Indenture, and have requested the Trustee to join them in the execution and delivery of this Supplemental Indenture, in order to establish the form and terms of, and to provide for the issuance by the Company of, the Notes,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Guarantee thereof, on the terms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Company now wishes to issue $650,000,000 aggregate principal amount of the Notes (the “</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and the Subsidiary Guarantor wishes to guarantee the payment of the Initial Notes;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conditions set forth in the Base Indenture for the execution and delivery of this Supplemental Indenture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complied with;</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all things necessary have been done to make the Initial Notes, when Global Securities representing the Initial Notes have been duly executed by the Company and authenticated and delivered by the Trustee or a duly authorized Authenticating Agent, as provided in the Base Indenture, the valid and legally binding obligations of the Company;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all things necessary have been done to make this Supplemental Indenture a valid agreement of the Company, the Subsidiary Guarantor and the Trustee, in accordance with its terms, and a valid amendment of, and supplement to, the Base Indenture.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consideration of the premises and the purchase and acceptance of the Notes by the Holders, the Company and the Subsidiary Guarantor covenant and agree with the Trustee, for the equal and ratable benefit of the Holders of the Notes, that the Base Indenture is supplemented and amended, to the extent expressed herein,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SCOPE OF SUPPLEMENTAL INDENTURE; GENERAL; THE NOTES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1.1. </w:t>
      </w:r>
      <w:r>
        <w:rPr>
          <w:rFonts w:ascii="Times New Roman" w:cs="Times New Roman" w:eastAsia="Times New Roman" w:hAnsi="Times New Roman"/>
          <w:sz w:val="18"/>
          <w:szCs w:val="18"/>
          <w:u w:val="single" w:color="auto"/>
          <w:color w:val="000000"/>
        </w:rPr>
        <w:t>Scope of Supplemental Indenture; General</w:t>
      </w:r>
      <w:r>
        <w:rPr>
          <w:rFonts w:ascii="Times New Roman" w:cs="Times New Roman" w:eastAsia="Times New Roman" w:hAnsi="Times New Roman"/>
          <w:sz w:val="18"/>
          <w:szCs w:val="18"/>
          <w:color w:val="000000"/>
        </w:rPr>
        <w:t>. This Supplemental Indenture supplements, and to the extent inconsistent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therewith, replaces, the provisions of the Base Indenture, to which provisions reference is hereby made.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changes, modifications and supplements to the Base Indenture effected by this Supplemental Indenture shall be applicable only with respect to, and govern the terms of, and shall be deemed expressly included in this Supplemental Indenture solely for the benefit of, the Notes (which shall be initially in the aggregate principal amount of $650,000,000) and shall not apply to any other series of Securities that have been or may be issued under the Base Indenture unless a supplemental indenture with respect to such other series of Securities specifically incorporates such changes, modifications and supplements.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1.2. </w:t>
      </w:r>
      <w:r>
        <w:rPr>
          <w:rFonts w:ascii="Times New Roman" w:cs="Times New Roman" w:eastAsia="Times New Roman" w:hAnsi="Times New Roman"/>
          <w:sz w:val="18"/>
          <w:szCs w:val="18"/>
          <w:u w:val="single" w:color="auto"/>
          <w:color w:val="000000"/>
        </w:rPr>
        <w:t>Applicability of Sections of the Base Indenture</w:t>
      </w:r>
      <w:r>
        <w:rPr>
          <w:rFonts w:ascii="Times New Roman" w:cs="Times New Roman" w:eastAsia="Times New Roman" w:hAnsi="Times New Roman"/>
          <w:sz w:val="18"/>
          <w:szCs w:val="18"/>
          <w:color w:val="000000"/>
        </w:rPr>
        <w:t>. Except as expressly specified hereby, each of the provisions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Base Indenture shall apply to the Notes.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010000"/>
        </w:rPr>
        <w:t>SECTION 1.3.</w:t>
      </w:r>
      <w:r>
        <w:rPr>
          <w:sz w:val="20"/>
          <w:szCs w:val="20"/>
          <w:color w:val="auto"/>
        </w:rPr>
        <w:tab/>
      </w:r>
      <w:r>
        <w:rPr>
          <w:rFonts w:ascii="Times New Roman" w:cs="Times New Roman" w:eastAsia="Times New Roman" w:hAnsi="Times New Roman"/>
          <w:sz w:val="17"/>
          <w:szCs w:val="17"/>
          <w:u w:val="single" w:color="auto"/>
          <w:color w:val="auto"/>
        </w:rPr>
        <w:t>Form, Dating and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035"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aggregate principal amount of the Notes that may be authenticated and delivered under the Indenture is unlimited. The aggregate principal amount of the Initial Notes initially authorized for authentication and delivery pursuant to this Supplemental Indenture is limited to $650,000,000 (except for Notes authenticated and delivered upon registration or transfer of, or in exchange for, or in lieu of other Notes pursuant to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8.6</w:t>
      </w:r>
      <w:r>
        <w:rPr>
          <w:rFonts w:ascii="Times New Roman" w:cs="Times New Roman" w:eastAsia="Times New Roman" w:hAnsi="Times New Roman"/>
          <w:sz w:val="18"/>
          <w:szCs w:val="18"/>
          <w:color w:val="auto"/>
        </w:rPr>
        <w:t xml:space="preserve"> of this Supplemental Indenture and Sections 304, 305, 306 and 1107 of the Base Indenture). Pursuant to this Supplemental Indenture, there is hereby created and designated one series of Securities under the Indenture entitled “6.250% Senior Notes due 2053.”</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addition, with respect to the Notes, the Company may issue, from time to time subsequent to the Issue Date in accordance with the provisions of the Indenture, additional Securities (such Securities, the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of the same series as the Notes.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Initial Notes and the Additional Notes shall be considered collectively as a single class for all purposes of the Indenture. Holders of the Initial Notes and the Additional Notes shall vote and consent together on all matters to which such Holders are entitled to vote or consent as one series of Securities, and none of the Holders of the Initial Notes or the Additional Notes shall have the right to vote or consent as a separate class or series on any matter to which such Holders are entitled to vote or consent.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Initial Notes and Additional Notes shall be initially issued in the form of one or more permanent Global Securities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duly executed by the Company and authenticated by the Trustee as provided in the Base Indenture. The aggregate principal amount of the Global Notes may from time to time be increased or decreased by adjustments made on the records of the Trustee and the Depositary or its nominee.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Notes may have such letters, numbers or other marks of identification and such notations, legends or endorsements as the officer executing the same may approve (execution thereof to be conclusive evidence of such approval) and as are not inconsistent with the provisions of this Supplemental Indenture or the Base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The terms and provisions contained in the form of Note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shall constitute, and are hereby expressly made, a part of this Supplemental Indenture, and the Company, the Subsidiary Guarantor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shall govern and be controlling.</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The Company shall pay principal of, premium, if any, and interest on the Notes at the office or agency designated by the Company, which is initially the corporate trust office of the Trustee in Minneapolis, Minnesota. The Company shall pay principal of, premium, if any, and interest on the Global Notes registered in the name of or held by the Depositary or its nominee in immediately available funds to the Depositary or its nominee, as the case may be, as the registered holder of such Global Note. The Company shall make all payments in respect of a Definitive Note by mailing a check to the registered address of each Holder thereof as such address shall appear in the Security Registrar’s books;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on the Notes represented by Definitive Notes may also be made, in the case of a Holder of at least $1,000,000 aggregate principal amount of Notes represented by Definitive Notes, by wire transfer to a U.S. dollar account maintained by the payee with a bank in the United States if such Holder elects payment by wire transfer by giving written notice to the Trustee or the Paying Agent in accordance with the terms of the Indenture.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firstLine="1304"/>
        <w:spacing w:after="0" w:line="282" w:lineRule="auto"/>
        <w:tabs>
          <w:tab w:leader="none" w:pos="2126"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Book-Entry Provisions</w:t>
      </w:r>
      <w:r>
        <w:rPr>
          <w:rFonts w:ascii="Times New Roman" w:cs="Times New Roman" w:eastAsia="Times New Roman" w:hAnsi="Times New Roman"/>
          <w:sz w:val="18"/>
          <w:szCs w:val="18"/>
          <w:color w:val="auto"/>
        </w:rPr>
        <w:t xml:space="preserve">. Except as otherwise stated in this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below, the last two paragraphs of Section 305 of the Base Indenture will apply to the Notes.</w:t>
      </w:r>
    </w:p>
    <w:p>
      <w:pPr>
        <w:spacing w:after="0" w:line="161" w:lineRule="exact"/>
        <w:rPr>
          <w:rFonts w:ascii="Times New Roman" w:cs="Times New Roman" w:eastAsia="Times New Roman" w:hAnsi="Times New Roman"/>
          <w:sz w:val="18"/>
          <w:szCs w:val="18"/>
          <w:color w:val="010000"/>
        </w:rPr>
      </w:pPr>
    </w:p>
    <w:p>
      <w:pPr>
        <w:ind w:left="660" w:firstLine="1292"/>
        <w:spacing w:after="0" w:line="282" w:lineRule="auto"/>
        <w:tabs>
          <w:tab w:leader="none" w:pos="266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shall apply only to Global Notes deposited with the Notes Custodian with respect to such Notes (as appointed by the Depositary), or any successor Person thereto, which shall initially be the Trustee.</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77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Global Note initially shall (x) be registered in the name of the Depositary for such Global Note or the nominee of such Depositary, (y) be delivered to the Notes Custodian for such Depositary and (z) bear the legend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9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or participants in, the Depositary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shall have no rights under the Indenture with respect to any Global Note held on their behalf by the Depositary or by the Trustee as the custodian of the Depositary or under such Global Note, and the Depositary may be treated by the Company, the Trustee and any agent of the Company or the Trustee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Note.</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94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4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transfer of an entire Global Note to beneficial owners pursuant to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of this Supplemental Indenture, such Global Note shall be deemed to be surrendered to the Trustee for cancellation, and the Company shall execute, and the Trustee shall authenticate and deliver, to each beneficial owner identified by the Depositary in exchange for its beneficial interest in such Global Note, an equal aggregate principal amount of Definitive Notes of authorized denominations.</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80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a Global Note shall, by acceptance of such Global Note, agree that transfers of beneficial interests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1304"/>
        <w:spacing w:after="0" w:line="254" w:lineRule="auto"/>
        <w:tabs>
          <w:tab w:leader="none" w:pos="2157"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Definitive Notes</w:t>
      </w:r>
      <w:r>
        <w:rPr>
          <w:rFonts w:ascii="Times New Roman" w:cs="Times New Roman" w:eastAsia="Times New Roman" w:hAnsi="Times New Roman"/>
          <w:sz w:val="18"/>
          <w:szCs w:val="18"/>
          <w:color w:val="auto"/>
        </w:rPr>
        <w:t>. Except as provided in the Indenture, owners of beneficial interests in Global Notes shall not be entitled to receive Definitive Notes. Definitive Notes shall be delivered to all beneficial owners in exchange for their beneficial interests in a Global Note if (i) the Depositary notifies the Company that it is unwilling or unable to continue as depositary for such Global Note or the Depositary ceases to be a clearing agency registered under the Exchange Act at a time when the Depositary is required to be so registered in order to act as Depositary, and, in each case, a successor depositary is not appointed by the Company within 90 days of such notice or (ii) an Event of Default has occurred and is continuing and the Security Registrar has received a request from the Depositary to deliver Definitive Notes to all beneficial owners in exchange for their beneficial interests in such Global Note. Definitive Notes may not be exchanged for beneficial interests in any Global Note unless the transferor first delivers to the Trustee a written certificate to the effect that such transfer will comply with any appropriate transfer restrictions applicable to such Notes.</w:t>
      </w:r>
    </w:p>
    <w:p>
      <w:pPr>
        <w:spacing w:after="0" w:line="191" w:lineRule="exact"/>
        <w:rPr>
          <w:rFonts w:ascii="Times New Roman" w:cs="Times New Roman" w:eastAsia="Times New Roman" w:hAnsi="Times New Roman"/>
          <w:sz w:val="18"/>
          <w:szCs w:val="18"/>
          <w:color w:val="010000"/>
        </w:rPr>
      </w:pPr>
    </w:p>
    <w:p>
      <w:pPr>
        <w:ind w:right="20" w:firstLine="1304"/>
        <w:spacing w:after="0" w:line="282" w:lineRule="auto"/>
        <w:tabs>
          <w:tab w:leader="none" w:pos="2099"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The Initial Notes may forthwith be executed by the Company and delivered, together with a Company Order, to the Trustee for authentication and delivery by the Trustee for original issue in accordance with the provisions of Section 303 of the Base Indenture.</w:t>
      </w:r>
    </w:p>
    <w:p>
      <w:pPr>
        <w:spacing w:after="0" w:line="161"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2116"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At any time and from time to time after the issuance of the Initial Notes, the Trustee shall authenticate and deliver any Additional Notes for original issue in accordance with the provisions of Section 303 of the Base Indenture in an aggregate principal amount determined at the time of issuance and specified in a Company Order which shall be accompanied with the Officer’s Certificate or supplemental indenture, as applicable, in respect thereof specified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this Supplemental Indenture. Such Company Order shall specify the principal amount of the Additional Notes to be authenticated and the date on which the original issue of such Additional Notes is to be authenticated.</w:t>
      </w:r>
    </w:p>
    <w:p>
      <w:pPr>
        <w:spacing w:after="0" w:line="18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1.4. </w:t>
      </w:r>
      <w:r>
        <w:rPr>
          <w:rFonts w:ascii="Times New Roman" w:cs="Times New Roman" w:eastAsia="Times New Roman" w:hAnsi="Times New Roman"/>
          <w:sz w:val="18"/>
          <w:szCs w:val="18"/>
          <w:u w:val="single" w:color="auto"/>
          <w:color w:val="000000"/>
        </w:rPr>
        <w:t>Additional Notes</w:t>
      </w:r>
      <w:r>
        <w:rPr>
          <w:rFonts w:ascii="Times New Roman" w:cs="Times New Roman" w:eastAsia="Times New Roman" w:hAnsi="Times New Roman"/>
          <w:sz w:val="18"/>
          <w:szCs w:val="18"/>
          <w:color w:val="000000"/>
        </w:rPr>
        <w:t>. With respect to any Additional Notes, there shall be set forth or determined in an Officer’s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Certificate delivered to the Trustee or established in one or more indentures supplemental to the Indenture, prior to the issuance of such Additional Notes:</w:t>
      </w:r>
    </w:p>
    <w:p>
      <w:pPr>
        <w:spacing w:after="0" w:line="162" w:lineRule="exact"/>
        <w:rPr>
          <w:sz w:val="20"/>
          <w:szCs w:val="20"/>
          <w:color w:val="auto"/>
        </w:rPr>
      </w:pPr>
    </w:p>
    <w:p>
      <w:pPr>
        <w:ind w:left="2040" w:hanging="736"/>
        <w:spacing w:after="0"/>
        <w:tabs>
          <w:tab w:leader="none" w:pos="2040" w:val="left"/>
        </w:tabs>
        <w:numPr>
          <w:ilvl w:val="0"/>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aggregate principal amount of such Additional Notes to be authenticated and delivered; and</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2167" w:val="left"/>
        </w:tabs>
        <w:numPr>
          <w:ilvl w:val="0"/>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issue price and the issue date of such Additional Notes, including the date from which interest shall accrue and the first interest payment date therefor.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CERTAIN DEFINITIONS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SECTION 2.1. </w:t>
      </w:r>
      <w:r>
        <w:rPr>
          <w:rFonts w:ascii="Times New Roman" w:cs="Times New Roman" w:eastAsia="Times New Roman" w:hAnsi="Times New Roman"/>
          <w:sz w:val="18"/>
          <w:szCs w:val="18"/>
          <w:u w:val="single" w:color="auto"/>
          <w:color w:val="000000"/>
        </w:rPr>
        <w:t>Certain Definitions</w:t>
      </w:r>
      <w:r>
        <w:rPr>
          <w:rFonts w:ascii="Times New Roman" w:cs="Times New Roman" w:eastAsia="Times New Roman" w:hAnsi="Times New Roman"/>
          <w:sz w:val="18"/>
          <w:szCs w:val="18"/>
          <w:color w:val="000000"/>
        </w:rPr>
        <w:t>. Section 101 of the Base Indenture is hereby amended by adding the following definitions in their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proper alphabetical order which, in the event of a conflict with the definition of terms in the Base Indenture, shall supersede and replace the corresponding definitions in the Base Indenture. Capitalized terms used but not defined herein have the meanings ascribed to such terms in the Base Indenture. The rules of construction set forth in Section 101 of the Base Indenture shall be applied hereto as if set forth in full herein, except that unless the context indicates otherwise, references in this Supplemental Indenture to an Article or Section refer to an Article or Section of this Supplemental Indenture, as the case may be.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Title 11 of the United States Code or any similar federal, state or foreign law for the relief of debtors.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of any Person means any and all shares, interests, rights to purchase, warrants, options, participations or other equivalents of or interests in (however designated) equity of such Person, including, without limitation, any preferred stock and limited liability company or partnership interests (whether general or limited) of such Person, but excluding any debt securities convertible or exchangeable into such equity.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at any date of determination, the total amount of assets of the Company and its Restricted Subsidiaries (less applicable depreciation and valuation reserves and other reserves and items deductible from the gross book value of specific asset accounts under GAAP) after deducting therefrom:</w:t>
      </w:r>
    </w:p>
    <w:p>
      <w:pPr>
        <w:spacing w:after="0" w:line="176" w:lineRule="exact"/>
        <w:rPr>
          <w:sz w:val="20"/>
          <w:szCs w:val="20"/>
          <w:color w:val="auto"/>
        </w:rPr>
      </w:pPr>
    </w:p>
    <w:p>
      <w:pPr>
        <w:jc w:val="both"/>
        <w:ind w:left="660" w:firstLine="644"/>
        <w:spacing w:after="0" w:line="266" w:lineRule="auto"/>
        <w:tabs>
          <w:tab w:leader="none" w:pos="213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(A) any current liabilities that by their terms are extendable or renewable at the option of the obligor thereon to a time more than 12 months after the time as of which the amount thereof is being computed, and (B) current maturities of Funded Debt);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3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goodwill, trade names, trademarks, patents, and other like intangible assets, all as set forth on the Company’s consolidated balance sheet as of a date no earlier than the date of the Company’s latest available annual or quarterly consolidated financial statements prepared in accordance with GAAP.</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any receiver, trustee, assignee, liquidator, custodian or similar official under any Bankruptcy Law.</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Recourse Exceptions</w:t>
      </w:r>
      <w:r>
        <w:rPr>
          <w:rFonts w:ascii="Times New Roman" w:cs="Times New Roman" w:eastAsia="Times New Roman" w:hAnsi="Times New Roman"/>
          <w:sz w:val="18"/>
          <w:szCs w:val="18"/>
          <w:color w:val="auto"/>
        </w:rPr>
        <w:t>” means with respect to any Non-Recourse Debt, exclusions from the exculpation provisions with respect to such Non-Recourse Debt for the voluntary bankruptcy of a Person, fraud, misapplication of cash, environmental claims, waste, willful destruction and other circumstances customarily excluded by lenders from exculpation provisions or included in separate indemnification agreements in non-recourse financings.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Notes</w:t>
      </w:r>
      <w:r>
        <w:rPr>
          <w:rFonts w:ascii="Times New Roman" w:cs="Times New Roman" w:eastAsia="Times New Roman" w:hAnsi="Times New Roman"/>
          <w:sz w:val="18"/>
          <w:szCs w:val="18"/>
          <w:color w:val="auto"/>
        </w:rPr>
        <w:t xml:space="preserve">” means Notes issued in the form of one or more certificated Notes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The Depository Trust Company, its nominees and their respective successors and assigns, or such other depository institution hereinafter appointed by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Debt</w:t>
      </w:r>
      <w:r>
        <w:rPr>
          <w:rFonts w:ascii="Times New Roman" w:cs="Times New Roman" w:eastAsia="Times New Roman" w:hAnsi="Times New Roman"/>
          <w:sz w:val="18"/>
          <w:szCs w:val="18"/>
          <w:color w:val="auto"/>
        </w:rPr>
        <w:t>” means, in respect of any Person, all Indebtedness Incurred by such Person that matures, or is renewable by such Person to a date, more than one year after the date as of which Funded Debt is being determined.</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 as in effect as of the Issue Date,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any obligation, contingent or otherwise, of any Person guaranteeing any Indebtedness of any other Person and any obligation, direct or indirect, contingent or otherwise, of such Person 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The term “guarantee” will not include endorsements for collection or deposit in the ordinary course of business. The term “guarantee” used as a verb has a corresponding meaning.</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Person in whose name a Note is registered on the Security Registrar’s books.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w:t>
      </w:r>
      <w:r>
        <w:rPr>
          <w:rFonts w:ascii="Times New Roman" w:cs="Times New Roman" w:eastAsia="Times New Roman" w:hAnsi="Times New Roman"/>
          <w:sz w:val="18"/>
          <w:szCs w:val="18"/>
          <w:color w:val="auto"/>
        </w:rPr>
        <w:t>” means issue, create, assume, guarantee, incur or otherwise become liable for. Any Indebtedness of a Person existing at the time such Person becomes a Subsidiary (whether by merger, consolidation, acquisition or otherwise) will be deemed to be Incurred by such Subsidiary at the time it becomes a Subsidiary. The terms “Incurred” and “Incurrence” have meanings correlative to the foregoing.</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on any date of determination, any obligation of such Person, whether contingent or otherwise, for the repayment of borrowed money and any guarantee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December 13, 2022, the date the Initial Notes are first issued under the Indenture.</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For the avoidance of doubt, (1) an operating lease shall be deemed not to constitute a Lien and (2) a contract that would not be considered a capital lease pursuant to GAAP prior to the effectiveness of Accounting Standards Codification 842 shall be deemed not to constitute a Lien.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Debt</w:t>
      </w:r>
      <w:r>
        <w:rPr>
          <w:rFonts w:ascii="Times New Roman" w:cs="Times New Roman" w:eastAsia="Times New Roman" w:hAnsi="Times New Roman"/>
          <w:sz w:val="18"/>
          <w:szCs w:val="18"/>
          <w:color w:val="auto"/>
        </w:rPr>
        <w:t>” means Indebtedness as to which neither the Company nor any of its Restricted Subsidiaries (a) provides credit support of any kind (including any undertaking, agreement or instrument that would constitute Indebtedness) or (b) is directly or indirectly liable as a guarantor or otherwise except, in each case for (i) Customary Recourse Exceptions and (ii) the pledge of (or a guarantee limited in recourse solely to) the Capital Stock of such Unrestricted Subsidiary.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Custodian</w:t>
      </w:r>
      <w:r>
        <w:rPr>
          <w:rFonts w:ascii="Times New Roman" w:cs="Times New Roman" w:eastAsia="Times New Roman" w:hAnsi="Times New Roman"/>
          <w:sz w:val="18"/>
          <w:szCs w:val="18"/>
          <w:color w:val="auto"/>
        </w:rPr>
        <w:t>” means the custodian with respect to the Global Notes (as appointed by the Depositary), or any successor Person thereto, and shall initially be the Trustee.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an Officer of the Company.</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from legal counsel who is reasonably acceptable to the Trustee. The counsel may be an employee of or counsel to the Company or the Trustee.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means September 15, 2052.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with respect to any Person:</w:t>
      </w:r>
    </w:p>
    <w:p>
      <w:pPr>
        <w:spacing w:after="0" w:line="225" w:lineRule="exact"/>
        <w:rPr>
          <w:sz w:val="20"/>
          <w:szCs w:val="20"/>
          <w:color w:val="auto"/>
        </w:rPr>
      </w:pPr>
    </w:p>
    <w:p>
      <w:pPr>
        <w:ind w:left="660" w:firstLine="644"/>
        <w:spacing w:after="0" w:line="282" w:lineRule="auto"/>
        <w:tabs>
          <w:tab w:leader="none" w:pos="21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Trustee for the benefit of the Trustee or the Holders of the Notes or otherwise securing the Notes, a Guarantee or other obligations under the Indenture;</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or obligations with regard to treasury management arrangements;</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a Restricted Subsidiary;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 Person existing at the time such Person becomes a Restricted Subsidiary of the Company or is merged with or into or consolidated with the Company or any Restricted Subsidiary of the Company; provided that such Liens were in existence prior to the contemplation of such Person becoming a Restricted Subsidiary;</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existing at the time of acquisition of the property by the Company or any Restricted Subsidiary of the Company; provided that such Liens were in existence prior to such acquisition and not Incurred in contemplation of such acquisition;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47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statutory or regulatory obligations, insurance, surety or appeal bonds, workers’ compensation obligations, bid, plugging and abandonment and performance bonds or other obligations of a like nature incurred in the ordinary course of business (including Liens to secure letters of credit issued to assure payment of such obligations);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left="-460" w:firstLine="644"/>
        <w:spacing w:after="0" w:line="256" w:lineRule="auto"/>
        <w:tabs>
          <w:tab w:leader="none" w:pos="120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Indebtedness represented by capital lease obligations, finance lease obligations, mortgage financings or purchase money obligations or other Indebtedness, in each case, incurred for the purpose of financing all or any part of the purchase price, other acquisition cost or cost of design, construction, installation, development, repair or improvement of property, plant or equipment used in the business of the Company or any of its Restricted Subsidiaries, and all refinancing indebtedness Incurred to renew, refund, refinance, replace, defease, discharge or otherwise retire for value, in whole or in part, such Indebtedness, covering only the assets acquired with or financed by such Indebtedness;</w:t>
      </w:r>
    </w:p>
    <w:p>
      <w:pPr>
        <w:spacing w:after="0" w:line="187"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hereof;</w:t>
      </w:r>
    </w:p>
    <w:p>
      <w:pPr>
        <w:spacing w:after="0" w:line="225"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Uniform Commercial Code financing statements as a precautionary measure in connection with operating leases;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2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bankers’ Liens, rights of setoff, rights of revocation, refund or chargeback with respect to money or instruments of the Company or any Restricted Subsidiary, Liens arising out of judgments or awards and notices of </w:t>
      </w:r>
      <w:r>
        <w:rPr>
          <w:rFonts w:ascii="Times New Roman" w:cs="Times New Roman" w:eastAsia="Times New Roman" w:hAnsi="Times New Roman"/>
          <w:sz w:val="18"/>
          <w:szCs w:val="18"/>
          <w:i w:val="1"/>
          <w:iCs w:val="1"/>
          <w:color w:val="auto"/>
        </w:rPr>
        <w:t>lis pendens</w:t>
      </w:r>
      <w:r>
        <w:rPr>
          <w:rFonts w:ascii="Times New Roman" w:cs="Times New Roman" w:eastAsia="Times New Roman" w:hAnsi="Times New Roman"/>
          <w:sz w:val="18"/>
          <w:szCs w:val="18"/>
          <w:color w:val="auto"/>
        </w:rPr>
        <w:t xml:space="preserve"> and associated rights related to litigation being contested in good faith by appropriate proceedings and for which adequate reserves have been made;</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12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Production Payments and Reserve Sales; provided, that such Liens are limited to the property that is subject to such Production Payments and Reserve Sales;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1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oil and gas leases or subleases, assignments, farm-out agreements, farm-in agreements, division orders, contracts for the sale, purchase, exchange, transportation, gathering or processing of hydrocarbons, unitizations and pooling designations, declarations, orders and agreements, development agreements, joint venture agreements, partnership agreements, operating agreements, royalties, working interests, net profits interests, joint interest billing arrangements, participation agreements, production sales contracts, area of mutual interest agreements, gas balancing or deferred production agreements, injection, repressuring and recycling agreements, salt water or other disposal agreements, seismic or geophysical permits or agreements, licenses, sublicenses and other agreements that are customary in the oil and gas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all instances that such Liens are limited to the assets that are the subject of the relevant agreement, program, order or contract;</w:t>
      </w:r>
    </w:p>
    <w:p>
      <w:pPr>
        <w:spacing w:after="0" w:line="191" w:lineRule="exact"/>
        <w:rPr>
          <w:rFonts w:ascii="Times New Roman" w:cs="Times New Roman" w:eastAsia="Times New Roman" w:hAnsi="Times New Roman"/>
          <w:sz w:val="18"/>
          <w:szCs w:val="18"/>
          <w:color w:val="auto"/>
        </w:rPr>
      </w:pPr>
    </w:p>
    <w:p>
      <w:pPr>
        <w:ind w:left="-460" w:firstLine="644"/>
        <w:spacing w:after="0" w:line="282" w:lineRule="auto"/>
        <w:tabs>
          <w:tab w:leader="none" w:pos="12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ordinary course of business contracts, including, without limitation, carriers’, warehousemen’s, suppliers’, mechanics’, materialmen’s, repairmen’s and similar Liens;</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114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issuers of surety or performance bonds or letters of credit or bankers’ acceptances issued pursuant to the request of and for the account of such Person in the ordinary course of its business;</w:t>
      </w:r>
    </w:p>
    <w:p>
      <w:pPr>
        <w:spacing w:after="0" w:line="37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0" w:name="page101"/>
    <w:bookmarkEnd w:id="100"/>
    <w:p>
      <w:pPr>
        <w:jc w:val="both"/>
        <w:ind w:left="660" w:firstLine="644"/>
        <w:spacing w:after="0" w:line="254" w:lineRule="auto"/>
        <w:tabs>
          <w:tab w:leader="none" w:pos="255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exceptions, encumbrances, ground leases, easements, restrictions, servitudes, permits, conditions, covenants, exceptions or reservations of, or rights of others for, licenses, rights-of-way, roads, pipelines, transmission liens, transportation liens, distribution lines for the removal of gas, oil, coal or other minerals or timber, sewers, electric lines, telegraph and telephone lines and other similar purposes, or for the joint or common use of real estate, rights of way, facilities and equipment, Liens related to surface leases and surface operations, or zoning, building codes or other restrictions (including, without limitation, minor defects or irregularities in title and similar encumbrances) as to the use of real properties or Liens incidental to the conduct of the business of the Company or any Restricted Subsidiary of the Company or to the ownership of its properties that do not in the aggregate materially adversely affect the value of said properties or materially impair their use in the operation of the business of the Company or any Restricted Subsidiary of the Company;</w:t>
      </w:r>
    </w:p>
    <w:p>
      <w:pPr>
        <w:spacing w:after="0" w:line="191" w:lineRule="exact"/>
        <w:rPr>
          <w:rFonts w:ascii="Times New Roman" w:cs="Times New Roman" w:eastAsia="Times New Roman" w:hAnsi="Times New Roman"/>
          <w:sz w:val="18"/>
          <w:szCs w:val="18"/>
          <w:color w:val="auto"/>
        </w:rPr>
      </w:pPr>
    </w:p>
    <w:p>
      <w:pPr>
        <w:ind w:left="660" w:firstLine="644"/>
        <w:spacing w:after="0" w:line="282" w:lineRule="auto"/>
        <w:tabs>
          <w:tab w:leader="none" w:pos="220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and sublicenses of assets that do not materially interfere with the ordinary conduct of the business of the Company or any Restricted Subsidiary of the Company;</w:t>
      </w:r>
    </w:p>
    <w:p>
      <w:pPr>
        <w:spacing w:after="0" w:line="161"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under any operating lease;</w:t>
      </w:r>
    </w:p>
    <w:p>
      <w:pPr>
        <w:spacing w:after="0" w:line="225"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pipelines or pipeline facilities that arise by operation of law;</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or related to, properties or assets to secure all or part of the costs incurred in the ordinary course of business for the exploration, drilling, development, production, processing, gathering, transportation, marketing or storage, plugging, abandonment or operation thereof;</w:t>
      </w:r>
    </w:p>
    <w:p>
      <w:pPr>
        <w:spacing w:after="0" w:line="175"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industrial revenue, municipal or similar bonds;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2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renewing, extending, refinancing, replacing or refunding a Lien permitted by this definition, provided that (a) the principal amount of the Indebtedness secured by such Lien is not increased except by an amount equal to accrued interest and any premium or other amount paid, and fees, costs and expenses incurred, in connection therewith and by an amount equal to any existing commitments unutilized thereunder and (b) no assets are encumbered by any such Lien other than the assets permitted to be encumbered immediately prior to such renewal, extension, refinancing, replacement or refunding.</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each case set forth above, notwithstanding any stated limitation on the assets or property that may be subject to such Lien, a Permitted Lien on a specified asset or property or group or type of assets or property may include Liens on all improvements, additions, repairs, attachments and accessions thereto, construction thereon, assets and property affixed or appurtenant thereto, parts, replacements and substitutions therefor and all products and proceeds thereof, including dividends, distributions, interest and increases in respect thereof.</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or government or other entity.</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all property interests in oil and gas reserves located in the United States capable of producing hydrocarbon substances in paying quantities, the net book value of which exceeds 2% of Consolidated Net Tangible Assets, other than: (1) property not of material importance to the business of the Company and its Subsidiaries, taken as a whole; (2) assets used in midstream operations; (3) accounts receivable; and (4) production or proceeds from the production of hydrocarbons.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Production Payments and Reserve Sales</w:t>
      </w:r>
      <w:r>
        <w:rPr>
          <w:rFonts w:ascii="Times New Roman" w:cs="Times New Roman" w:eastAsia="Times New Roman" w:hAnsi="Times New Roman"/>
          <w:sz w:val="18"/>
          <w:szCs w:val="18"/>
          <w:color w:val="auto"/>
        </w:rPr>
        <w:t>” means the grant or transfer by the Company or any of its Restricted Subsidiaries to any Person of a royalty, overriding royalty, net profits interest, production payment, partnership or other interest in oil and gas properties, reserves or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 pursuant to incentive compensation programs on terms that are reasonably customary in the oil and gas business for geologists, geophysicists or other providers of technical services to the Company or any of its Restricted Subsidiaries.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of any Person means any Subsidiary of the Person that is not an Unrestricted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means, with respect to any security or Indebtedness, the date specified in such security or Indebtedness as the fixed date on which the payment of principal of such security or Indebtedness is due and payable, including, without limitation, pursuant to any mandatory redemption provision, but shall not include any contingent obligations to repay, redeem or repurchase any such principal prior to the date originally scheduled for the payment thereof.</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with respect to any Person, means any (i) corporation, limited liability company or other entity (other than a partnership) of which the outstanding Capital Stock having a majority of the votes entitled to be cast in the election of directors, managers or trustees of such entity under ordinary circumstances shall at the time be owned, directly or indirectly, by such Person or any other Person of which a majority of the voting interests under ordinary circumstances is at the time, directly or indirectly, owned by such Person or (ii)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u w:val="single" w:color="auto"/>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u w:val="single" w:color="auto"/>
          <w:color w:val="auto"/>
        </w:rPr>
        <w:t>H.15 TCM</w:t>
      </w:r>
      <w:r>
        <w:rPr>
          <w:rFonts w:ascii="Times New Roman" w:cs="Times New Roman" w:eastAsia="Times New Roman" w:hAnsi="Times New Roman"/>
          <w:sz w:val="18"/>
          <w:szCs w:val="18"/>
          <w:color w:val="auto"/>
        </w:rPr>
        <w:t>”). In determining the Treasury Rate, the Company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(1) Viper Energy Partners GP LLC, (2) Viper Energy Partners LP, (3) Viper Energy Partners LLC,</w:t>
      </w:r>
    </w:p>
    <w:p>
      <w:pPr>
        <w:spacing w:after="0" w:line="27" w:lineRule="exact"/>
        <w:rPr>
          <w:sz w:val="20"/>
          <w:szCs w:val="20"/>
          <w:color w:val="auto"/>
        </w:rPr>
      </w:pPr>
    </w:p>
    <w:p>
      <w:pPr>
        <w:ind w:left="280" w:hanging="272"/>
        <w:spacing w:after="0"/>
        <w:tabs>
          <w:tab w:leader="none" w:pos="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Rattler Midstream GP LLC, (5) Rattler Midstream LP, (6) Rattler Midstream Operating LLC, (7) Tall City Towers LLC, (8) Rattler OMOG LLC,</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Rattler Ajax Processing LLC, (10) Rattler WTG LLC, (11) Rattler Holdings LLC, (12) Rattler BANGL LLC, (13) any other Subsidiary of the Company designated as such pursuant to and in compliance with the Indenture and (14) any Subsidiary of an Unrestricted Subsidiary. Notwithstanding the foregoing, if OMOG JV LLC shall constitute a Subsidiary of the Company, it shall constitute an Unrestricted Subsidiary.</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1300"/>
        <w:spacing w:after="0"/>
        <w:rPr>
          <w:sz w:val="20"/>
          <w:szCs w:val="20"/>
          <w:color w:val="auto"/>
        </w:rPr>
      </w:pPr>
      <w:r>
        <w:rPr>
          <w:rFonts w:ascii="Times New Roman" w:cs="Times New Roman" w:eastAsia="Times New Roman" w:hAnsi="Times New Roman"/>
          <w:sz w:val="18"/>
          <w:szCs w:val="18"/>
          <w:color w:val="auto"/>
        </w:rPr>
        <w:t>In addition to the terms defined above, the following terms are defined in this Supplemental Indenture where indicated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Defined in</w:t>
            </w:r>
          </w:p>
        </w:tc>
      </w:tr>
      <w:tr>
        <w:trPr>
          <w:trHeight w:val="238"/>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9"/>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Notes”</w:t>
            </w: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1.3(a)</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“Agent Members”</w:t>
            </w: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1.3(b)(iii)</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Indenture”</w:t>
            </w: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6.1(a)</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Note”</w:t>
            </w: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1.3(a)</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“Indenture”</w:t>
            </w: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Notes”</w:t>
            </w: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default”</w:t>
            </w: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6.1(a)(5)(A)</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“Subsidiary Credit Facility”</w:t>
            </w:r>
          </w:p>
        </w:tc>
        <w:tc>
          <w:tcPr>
            <w:tcW w:w="86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Guarantee”</w:t>
            </w: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Article IX</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“Subsidiary Guarantor”</w:t>
            </w: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IX</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Indenture”</w:t>
            </w: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432"/>
        </w:trPr>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0" w:type="dxa"/>
            <w:vAlign w:val="bottom"/>
            <w:gridSpan w:val="4"/>
          </w:tcPr>
          <w:p>
            <w:pPr>
              <w:jc w:val="right"/>
              <w:ind w:right="5030"/>
              <w:spacing w:after="0"/>
              <w:rPr>
                <w:sz w:val="20"/>
                <w:szCs w:val="20"/>
                <w:color w:val="auto"/>
              </w:rPr>
            </w:pPr>
            <w:r>
              <w:rPr>
                <w:rFonts w:ascii="Times New Roman" w:cs="Times New Roman" w:eastAsia="Times New Roman" w:hAnsi="Times New Roman"/>
                <w:sz w:val="18"/>
                <w:szCs w:val="18"/>
                <w:color w:val="010000"/>
              </w:rPr>
              <w:t>ARTICLE III</w:t>
            </w:r>
          </w:p>
        </w:tc>
      </w:tr>
      <w:tr>
        <w:trPr>
          <w:trHeight w:val="391"/>
        </w:trPr>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0" w:type="dxa"/>
            <w:vAlign w:val="bottom"/>
            <w:gridSpan w:val="4"/>
          </w:tcPr>
          <w:p>
            <w:pPr>
              <w:jc w:val="right"/>
              <w:ind w:right="4950"/>
              <w:spacing w:after="0"/>
              <w:rPr>
                <w:sz w:val="20"/>
                <w:szCs w:val="20"/>
                <w:color w:val="auto"/>
              </w:rPr>
            </w:pPr>
            <w:r>
              <w:rPr>
                <w:rFonts w:ascii="Times New Roman" w:cs="Times New Roman" w:eastAsia="Times New Roman" w:hAnsi="Times New Roman"/>
                <w:sz w:val="18"/>
                <w:szCs w:val="18"/>
                <w:color w:val="auto"/>
                <w:w w:val="98"/>
              </w:rPr>
              <w:t>REDEMPTION</w:t>
            </w:r>
          </w:p>
        </w:tc>
      </w:tr>
      <w:tr>
        <w:trPr>
          <w:trHeight w:val="412"/>
        </w:trPr>
        <w:tc>
          <w:tcPr>
            <w:tcW w:w="2640" w:type="dxa"/>
            <w:vAlign w:val="bottom"/>
          </w:tcPr>
          <w:p>
            <w:pPr>
              <w:ind w:left="1300"/>
              <w:spacing w:after="0"/>
              <w:rPr>
                <w:sz w:val="20"/>
                <w:szCs w:val="20"/>
                <w:color w:val="auto"/>
              </w:rPr>
            </w:pPr>
            <w:r>
              <w:rPr>
                <w:rFonts w:ascii="Times New Roman" w:cs="Times New Roman" w:eastAsia="Times New Roman" w:hAnsi="Times New Roman"/>
                <w:sz w:val="18"/>
                <w:szCs w:val="18"/>
                <w:color w:val="010000"/>
              </w:rPr>
              <w:t>SECTION 3.1.</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1160" w:type="dxa"/>
            <w:vAlign w:val="bottom"/>
            <w:tcBorders>
              <w:top w:val="single" w:sz="8" w:color="auto"/>
            </w:tcBorders>
          </w:tcPr>
          <w:p>
            <w:pPr>
              <w:spacing w:after="0"/>
              <w:rPr>
                <w:sz w:val="24"/>
                <w:szCs w:val="24"/>
                <w:color w:val="auto"/>
              </w:rPr>
            </w:pPr>
          </w:p>
        </w:tc>
        <w:tc>
          <w:tcPr>
            <w:tcW w:w="5040" w:type="dxa"/>
            <w:vAlign w:val="bottom"/>
            <w:gridSpan w:val="3"/>
          </w:tcPr>
          <w:p>
            <w:pPr>
              <w:spacing w:after="0"/>
              <w:rPr>
                <w:sz w:val="24"/>
                <w:szCs w:val="24"/>
                <w:color w:val="auto"/>
              </w:rPr>
            </w:pPr>
          </w:p>
        </w:tc>
      </w:tr>
      <w:tr>
        <w:trPr>
          <w:trHeight w:val="20"/>
        </w:trPr>
        <w:tc>
          <w:tcPr>
            <w:tcW w:w="26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304"/>
        <w:spacing w:after="0" w:line="256" w:lineRule="auto"/>
        <w:tabs>
          <w:tab w:leader="none" w:pos="20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40 basis points less (b) interest accrued to the Redemption Date, and (2) 100% of the principal amount of the Notes to be redeemed, plus, in either case, accrued and unpaid interest thereon to but not including the Redemption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8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2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304"/>
        <w:spacing w:after="0" w:line="256" w:lineRule="auto"/>
        <w:tabs>
          <w:tab w:leader="none" w:pos="20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subject to the last sentence of this Section 3.1(d).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such Depositary.</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Redemption Price or any conditions precedent described in the notice of redemption are not satisfied and therefore the notice of redemption is deemed rescinded, on and after the Redemption Date interest will cease to accrue on the Notes or portions thereof called for redemption.</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3.2. </w:t>
      </w:r>
      <w:r>
        <w:rPr>
          <w:rFonts w:ascii="Times New Roman" w:cs="Times New Roman" w:eastAsia="Times New Roman" w:hAnsi="Times New Roman"/>
          <w:sz w:val="18"/>
          <w:szCs w:val="18"/>
          <w:u w:val="single" w:color="auto"/>
          <w:color w:val="000000"/>
        </w:rPr>
        <w:t>Sinking Fund; Mandatory Redemption</w:t>
      </w:r>
      <w:r>
        <w:rPr>
          <w:rFonts w:ascii="Times New Roman" w:cs="Times New Roman" w:eastAsia="Times New Roman" w:hAnsi="Times New Roman"/>
          <w:sz w:val="18"/>
          <w:szCs w:val="18"/>
          <w:color w:val="000000"/>
        </w:rPr>
        <w:t>. The Company is not required to make mandatory redemption payments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sinking fund payments with respect to the Notes. Accordingly, Article XII of the Base Indenture shall not apply to the Notes.</w:t>
      </w:r>
    </w:p>
    <w:p>
      <w:pPr>
        <w:spacing w:after="0" w:line="162"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010000"/>
        </w:rPr>
        <w:t>SECTION 3.3.</w:t>
      </w:r>
      <w:r>
        <w:rPr>
          <w:sz w:val="20"/>
          <w:szCs w:val="20"/>
          <w:color w:val="auto"/>
        </w:rPr>
        <w:tab/>
      </w:r>
      <w:r>
        <w:rPr>
          <w:rFonts w:ascii="Times New Roman" w:cs="Times New Roman" w:eastAsia="Times New Roman" w:hAnsi="Times New Roman"/>
          <w:sz w:val="18"/>
          <w:szCs w:val="18"/>
          <w:u w:val="single" w:color="auto"/>
          <w:color w:val="auto"/>
        </w:rPr>
        <w:t>Redemption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140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Section 1104 of the Base Indenture shall not apply to the Notes, and in lieu thereof, the following paragraph shall be deemed included in the Indenture for the benefit of the Notes:</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Applicable Procedures) in the manner provided in Section 106 of the Base Indenture at least 10 days but not more than 60 days before the Redemption Date to each Holder of Notes to be redeemed. Notwithstanding anything herein to the contrary, notices may be sent more than 60 days prior to a Redemption Date if the notice is issued in connection with a Covenant Defeasance or Defeasance with respect to the Notes or a satisfaction and discharge of the Indenture with respect to the Notes.</w:t>
      </w:r>
    </w:p>
    <w:p>
      <w:pPr>
        <w:spacing w:after="0" w:line="183" w:lineRule="exact"/>
        <w:rPr>
          <w:sz w:val="20"/>
          <w:szCs w:val="20"/>
          <w:color w:val="auto"/>
        </w:rPr>
      </w:pPr>
    </w:p>
    <w:p>
      <w:pPr>
        <w:jc w:val="both"/>
        <w:ind w:firstLine="656"/>
        <w:spacing w:after="0" w:line="258" w:lineRule="auto"/>
        <w:tabs>
          <w:tab w:leader="none" w:pos="14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redemption may, at the Company’s discretion, be subject to one or more conditions precedent. If a redemption is subject to satisfaction of one or more conditions precedent, the Redemption Date may be delayed up to 10 Business Days at the Company’s election. If such conditions precedent are not satisfied within 10 Business Days after the proposed Redemption Date, such redemption shall not occur and the notice thereof shall be deemed rescinded. If the conditions precedent are satisfied, the Company shall provide written notice to the Trustee of the satisfaction of such conditions as soon as practicable following occurrence of the conditions.</w:t>
      </w:r>
    </w:p>
    <w:p>
      <w:pPr>
        <w:spacing w:after="0" w:line="183"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paragraph of Section 1104 of the Base Indenture shall not apply to the Notes.</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stated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to the extent inconsistent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of the Base Indenture shall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Notes.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010000"/>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Articles VII and X of the Base Indenture shall apply to the Notes, and the covenants in such Articles shall be deemed included in the Indenture for the benefit of the Notes, except that Section 704 of the Base Indenture shall not apply to the Notes, and the covenants in Section 704 of the Base Indenture shall be deemed included in the Indenture solely for the benefit of series of Securities other than the Notes.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In addition, the following covenants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apply to the Notes and shall be deemed included in the Indenture solely for the benefit of the Notes: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SECTION 4.1. </w:t>
      </w:r>
      <w:r>
        <w:rPr>
          <w:rFonts w:ascii="Times New Roman" w:cs="Times New Roman" w:eastAsia="Times New Roman" w:hAnsi="Times New Roman"/>
          <w:sz w:val="18"/>
          <w:szCs w:val="18"/>
          <w:u w:val="single" w:color="auto"/>
          <w:color w:val="000000"/>
        </w:rPr>
        <w:t>Limitation on Liens</w:t>
      </w:r>
      <w:r>
        <w:rPr>
          <w:rFonts w:ascii="Times New Roman" w:cs="Times New Roman" w:eastAsia="Times New Roman" w:hAnsi="Times New Roman"/>
          <w:sz w:val="18"/>
          <w:szCs w:val="18"/>
          <w:color w:val="000000"/>
        </w:rPr>
        <w:t>. The Company will not, and will not permit any of its Restricted Subsidiaries to, create, Incur,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suffer or permit to exist, any Lien securing Funded Debt (other than Permitted Liens) upon any Principal Property, whether owned on the Issue Date or acquired after that date, unless the Indebtedness due under the Indenture, the Notes and the Subsidiary Guarantee (if any) is secured equally and ratably with (or senior in priority to in the case of Liens with respect to Funded Debt that is expressly subordinated to the Notes or the Subsidiary Guarantee) the Funded Debt secured by such Lien for so long as such Funded Debt is so secured.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preceding paragraph, the Company may, and may permit any Restricted Subsidiary of the Company to, create, Incur, or suffer or permit to exist, any Lien securing Funded Debt upon any Principal Property without securing the Indebtedness due under the Indenture, the Notes and the Subsidiary Guarantee if the aggregate principal amount of such Funded Debt secured by such Lien upon such Principal Property, together with the aggregate outstanding principal amount of all other Funded Debt of the Company and of any Restricted Subsidiary of the Company secured by any Liens (other than Permitted Liens) upon Principal Property, does not at the time such Funded Debt is created, Incurred or assumed (or, if later, at the time such Lien is created, Incurred or assumed) exceed the greater of (i) 15% of Consolidated Net Tangible Assets at such time and (ii) $3,350,000,000.</w:t>
      </w:r>
    </w:p>
    <w:p>
      <w:pPr>
        <w:spacing w:after="0" w:line="18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u w:val="single" w:color="auto"/>
          <w:color w:val="auto"/>
        </w:rPr>
        <w:t>Reports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1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furnish or file with the Trustee, within 15 days after it files the same with the SEC, copies of the annual reports and the information, documents and other reports (or copies of such portions of any of the foregoing as the SEC may by rules and regulations prescribe) that the Company is required to file with the SEC pursuant to Section 13 or 15(d) of the Exchange Act. If the Company is not subject to the requirements of Section 13 or 15(d) of the Exchange Act, the Company will furnish to all Holders of the Notes and prospective purchasers of the Notes designated by the Holders of the Notes, promptly on their request, the information required to be delivered pursuant to Rule 144A(d)(4) promulgated under the Securities Act. For purposes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the Company will be deemed to have furnished such reports and information to, or filed such reports and information with, the Trustee and the Holders of Notes and prospective purchasers as required by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if it has filed such reports or information with the SEC via the EDGAR filing system or otherwise made such reports or information publicly available on a freely accessible page on the Company’s website. The Trustee shall have no obligation whatsoever to determine whether or not such reports and information have been filed or have been posted on such website.</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1304"/>
        <w:spacing w:after="0" w:line="266" w:lineRule="auto"/>
        <w:tabs>
          <w:tab w:leader="none" w:pos="22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shall furnish to the Trustee, annually, a brief certificate from the principal executive officer, principal financial officer or principal accounting officer as to his or her knowledge of the Company’s compliance with all conditions and covenants under the Indenture.</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1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the Trustee, within 30 days after the occurrence thereof, written notice of any events that would constitute an Event of Default, unless such Event of Default has been cured or waived before the end of such 30-day period, their status and what action the Company is taking or proposing to take in respect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any reports, information and documents to the Trustee pursuant to paragraphs (a) and (b) above is for informational purposes only and the Trustee’s receipt of such shall not constitute notice, constructive or otherwise, of any information contained therein or determinable from information contained therein, including the compliance by the Company with any of the Company’s covenants (as to which the Trustee is entitled to rely exclusively on Officer’s Certificates).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Unrestricted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100" w:hanging="796"/>
        <w:spacing w:after="0"/>
        <w:tabs>
          <w:tab w:leader="none" w:pos="2100" w:val="left"/>
        </w:tabs>
        <w:numPr>
          <w:ilvl w:val="1"/>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Board of Directors of the Company may after the Issue Date designate any Subsidiary as an “Unrestricted Subsidiary” if:</w:t>
      </w:r>
    </w:p>
    <w:p>
      <w:pPr>
        <w:spacing w:after="0" w:line="27" w:lineRule="exact"/>
        <w:rPr>
          <w:rFonts w:ascii="Times New Roman" w:cs="Times New Roman" w:eastAsia="Times New Roman" w:hAnsi="Times New Roman"/>
          <w:sz w:val="18"/>
          <w:szCs w:val="18"/>
          <w:color w:val="010000"/>
        </w:rPr>
      </w:pPr>
    </w:p>
    <w:p>
      <w:pPr>
        <w:ind w:firstLine="8"/>
        <w:spacing w:after="0" w:line="260" w:lineRule="auto"/>
        <w:tabs>
          <w:tab w:leader="none" w:pos="2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at the time of or after giving effect to such designation; and (2) such Subsidiary has no Indebtedness other than Non-Recourse Debt.</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5" w:val="left"/>
        </w:tabs>
        <w:numPr>
          <w:ilvl w:val="1"/>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Board of Directors of the Company may at any time designate any Unrestricted Subsidiary to be a Restricted Subsidiary of the Company. Any such designation will be deemed to be an incurrence of Funded Debt and Liens by a Restricted Subsidiary of the Company of any outstanding Funded Debt and Liens, respectively, of such Unrestricted Subsidiary, and such designation will only be permitted if no Default or Event of Default would be in existence following such designation.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CONSOLIDATION, MERGER, SALE, CONVEYANCE, TRANSFER OR LEASE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Sections 801 and 802 of the Base Indenture shall apply to the Notes, and the covenants therein shall be deemed included in the Indenture for the benefit of the Notes.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010000"/>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DEFAULTS AND REMEDIES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Sections 501 and 502 of the Base Indenture shall not apply to the Notes, and shall be deemed not to be included in the Indenture for the benefit of the Notes.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Sections 6.1 and 6.2</w:t>
      </w:r>
      <w:r>
        <w:rPr>
          <w:rFonts w:ascii="Times New Roman" w:cs="Times New Roman" w:eastAsia="Times New Roman" w:hAnsi="Times New Roman"/>
          <w:sz w:val="18"/>
          <w:szCs w:val="18"/>
          <w:color w:val="auto"/>
        </w:rPr>
        <w:t xml:space="preserve"> below shall apply to the Notes and shall be deemed to be included in the Indenture solely for the benefit of the Notes:</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010000"/>
        </w:rPr>
        <w:t>SECTION 6.1.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40" w:hanging="736"/>
        <w:spacing w:after="0"/>
        <w:tabs>
          <w:tab w:leader="none" w:pos="2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is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with respect to the Notes:</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default in any payment of interest on any Note when due, continued for 30 days;</w:t>
      </w:r>
    </w:p>
    <w:p>
      <w:pPr>
        <w:spacing w:after="0" w:line="225" w:lineRule="exact"/>
        <w:rPr>
          <w:rFonts w:ascii="Times New Roman" w:cs="Times New Roman" w:eastAsia="Times New Roman" w:hAnsi="Times New Roman"/>
          <w:sz w:val="18"/>
          <w:szCs w:val="18"/>
          <w:color w:val="010000"/>
        </w:rPr>
      </w:pPr>
    </w:p>
    <w:p>
      <w:pPr>
        <w:ind w:left="660" w:firstLine="1292"/>
        <w:spacing w:after="0" w:line="282" w:lineRule="auto"/>
        <w:tabs>
          <w:tab w:leader="none" w:pos="2746" w:val="left"/>
        </w:tabs>
        <w:numPr>
          <w:ilvl w:val="1"/>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default in the payment of principal of or premium, if any, on any Note when due at its Stated Maturity, upon optional redemption, upon acceleration or otherwise;</w:t>
      </w:r>
    </w:p>
    <w:p>
      <w:pPr>
        <w:spacing w:after="0" w:line="161" w:lineRule="exact"/>
        <w:rPr>
          <w:rFonts w:ascii="Times New Roman" w:cs="Times New Roman" w:eastAsia="Times New Roman" w:hAnsi="Times New Roman"/>
          <w:sz w:val="18"/>
          <w:szCs w:val="18"/>
          <w:color w:val="010000"/>
        </w:rPr>
      </w:pPr>
    </w:p>
    <w:p>
      <w:pPr>
        <w:ind w:left="2760" w:hanging="808"/>
        <w:spacing w:after="0"/>
        <w:tabs>
          <w:tab w:leader="none" w:pos="2760" w:val="left"/>
        </w:tabs>
        <w:numPr>
          <w:ilvl w:val="1"/>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failure by the Company to comply for 180 days after notice as provided below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this Supplemental</w:t>
      </w:r>
    </w:p>
    <w:p>
      <w:pPr>
        <w:spacing w:after="0" w:line="27" w:lineRule="exact"/>
        <w:rPr>
          <w:rFonts w:ascii="Times New Roman" w:cs="Times New Roman" w:eastAsia="Times New Roman" w:hAnsi="Times New Roman"/>
          <w:sz w:val="18"/>
          <w:szCs w:val="18"/>
          <w:color w:val="010000"/>
        </w:rPr>
      </w:pP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Indenture;</w:t>
      </w:r>
    </w:p>
    <w:p>
      <w:pPr>
        <w:spacing w:after="0" w:line="206" w:lineRule="exact"/>
        <w:rPr>
          <w:rFonts w:ascii="Times New Roman" w:cs="Times New Roman" w:eastAsia="Times New Roman" w:hAnsi="Times New Roman"/>
          <w:sz w:val="18"/>
          <w:szCs w:val="18"/>
          <w:color w:val="010000"/>
        </w:rPr>
      </w:pPr>
    </w:p>
    <w:p>
      <w:pPr>
        <w:ind w:left="660" w:firstLine="1292"/>
        <w:spacing w:after="0" w:line="282" w:lineRule="auto"/>
        <w:tabs>
          <w:tab w:leader="none" w:pos="2867" w:val="left"/>
        </w:tabs>
        <w:numPr>
          <w:ilvl w:val="1"/>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failure by the Company to comply for 90 days after notice as provided below with its agreements (other than the agreements that are the subjects of clauses (1)-(3) above) contained in the Indenture or the Notes;</w:t>
      </w:r>
    </w:p>
    <w:p>
      <w:pPr>
        <w:spacing w:after="0" w:line="161" w:lineRule="exact"/>
        <w:rPr>
          <w:rFonts w:ascii="Times New Roman" w:cs="Times New Roman" w:eastAsia="Times New Roman" w:hAnsi="Times New Roman"/>
          <w:sz w:val="18"/>
          <w:szCs w:val="18"/>
          <w:color w:val="010000"/>
        </w:rPr>
      </w:pPr>
    </w:p>
    <w:p>
      <w:pPr>
        <w:jc w:val="both"/>
        <w:ind w:left="660" w:firstLine="1292"/>
        <w:spacing w:after="0" w:line="261" w:lineRule="auto"/>
        <w:tabs>
          <w:tab w:leader="none" w:pos="2759" w:val="left"/>
        </w:tabs>
        <w:numPr>
          <w:ilvl w:val="1"/>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default under any mortgage, indenture or similar instrument under which there is issued or by which there is secured or evidenced any Indebtedness for money borrowed by the Company or the Subsidiary Guarantor (or the payment of which is guaranteed by the Company or the Subsidiary Guarantor), other than Indebtedness owed to a Subsidiary, whether such Indebtedness or guarantee now exists or is created after the Issue Date, which default:</w:t>
      </w:r>
    </w:p>
    <w:p>
      <w:pPr>
        <w:spacing w:after="0" w:line="179" w:lineRule="exact"/>
        <w:rPr>
          <w:rFonts w:ascii="Times New Roman" w:cs="Times New Roman" w:eastAsia="Times New Roman" w:hAnsi="Times New Roman"/>
          <w:sz w:val="18"/>
          <w:szCs w:val="18"/>
          <w:color w:val="010000"/>
        </w:rPr>
      </w:pPr>
    </w:p>
    <w:p>
      <w:pPr>
        <w:ind w:left="1300" w:firstLine="1300"/>
        <w:spacing w:after="0" w:line="282" w:lineRule="auto"/>
        <w:tabs>
          <w:tab w:leader="none" w:pos="3494" w:val="left"/>
        </w:tabs>
        <w:numPr>
          <w:ilvl w:val="2"/>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is caused by a failure to pay principal of, or interest or premium, if any, on such Indebtedness prior to the expiration of the grace period provided in such Indebtedness (“</w:t>
      </w:r>
      <w:r>
        <w:rPr>
          <w:rFonts w:ascii="Times New Roman" w:cs="Times New Roman" w:eastAsia="Times New Roman" w:hAnsi="Times New Roman"/>
          <w:sz w:val="18"/>
          <w:szCs w:val="18"/>
          <w:u w:val="single" w:color="auto"/>
          <w:color w:val="auto"/>
        </w:rPr>
        <w:t>payment default</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010000"/>
        </w:rPr>
      </w:pPr>
    </w:p>
    <w:p>
      <w:pPr>
        <w:ind w:left="3380" w:hanging="780"/>
        <w:spacing w:after="0"/>
        <w:tabs>
          <w:tab w:leader="none" w:pos="3380" w:val="left"/>
        </w:tabs>
        <w:numPr>
          <w:ilvl w:val="2"/>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results in the acceleration of such Indebtedness prior to its maturity;</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and, in each case, the principal amount of any such Indebtedness, together with the principal amount of any other such Indebtedness under which there is an outstanding uncured payment default or the maturity of which has been and remains so accelerated, aggregates $150.0 million or more;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left="2700" w:hanging="748"/>
        <w:spacing w:after="0"/>
        <w:tabs>
          <w:tab w:leader="none" w:pos="2700" w:val="left"/>
        </w:tabs>
        <w:numPr>
          <w:ilvl w:val="0"/>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pursuant to or within the meaning of any Bankruptcy Law:</w:t>
      </w:r>
    </w:p>
    <w:p>
      <w:pPr>
        <w:spacing w:after="0" w:line="200" w:lineRule="exact"/>
        <w:rPr>
          <w:rFonts w:ascii="Times New Roman" w:cs="Times New Roman" w:eastAsia="Times New Roman" w:hAnsi="Times New Roman"/>
          <w:sz w:val="18"/>
          <w:szCs w:val="18"/>
          <w:color w:val="010000"/>
        </w:rPr>
      </w:pPr>
    </w:p>
    <w:p>
      <w:pPr>
        <w:spacing w:after="0" w:line="241" w:lineRule="exact"/>
        <w:rPr>
          <w:rFonts w:ascii="Times New Roman" w:cs="Times New Roman" w:eastAsia="Times New Roman" w:hAnsi="Times New Roman"/>
          <w:sz w:val="18"/>
          <w:szCs w:val="18"/>
          <w:color w:val="010000"/>
        </w:rPr>
      </w:pPr>
    </w:p>
    <w:p>
      <w:pPr>
        <w:ind w:left="3380" w:hanging="780"/>
        <w:spacing w:after="0"/>
        <w:tabs>
          <w:tab w:leader="none" w:pos="3380" w:val="left"/>
        </w:tabs>
        <w:numPr>
          <w:ilvl w:val="1"/>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commences a voluntary case or voluntary proceeding;</w:t>
      </w:r>
    </w:p>
    <w:p>
      <w:pPr>
        <w:spacing w:after="0" w:line="225" w:lineRule="exact"/>
        <w:rPr>
          <w:rFonts w:ascii="Times New Roman" w:cs="Times New Roman" w:eastAsia="Times New Roman" w:hAnsi="Times New Roman"/>
          <w:sz w:val="18"/>
          <w:szCs w:val="18"/>
          <w:color w:val="010000"/>
        </w:rPr>
      </w:pPr>
    </w:p>
    <w:p>
      <w:pPr>
        <w:ind w:left="3400" w:hanging="800"/>
        <w:spacing w:after="0"/>
        <w:tabs>
          <w:tab w:leader="none" w:pos="3400" w:val="left"/>
        </w:tabs>
        <w:numPr>
          <w:ilvl w:val="1"/>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consents to the entry of a judgment, decree or order for relief against it in an involuntary case or involuntary</w:t>
      </w:r>
    </w:p>
    <w:p>
      <w:pPr>
        <w:spacing w:after="0" w:line="27" w:lineRule="exact"/>
        <w:rPr>
          <w:rFonts w:ascii="Times New Roman" w:cs="Times New Roman" w:eastAsia="Times New Roman" w:hAnsi="Times New Roman"/>
          <w:sz w:val="18"/>
          <w:szCs w:val="18"/>
          <w:color w:val="010000"/>
        </w:rPr>
      </w:pPr>
    </w:p>
    <w:p>
      <w:pPr>
        <w:ind w:left="130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proceeding;</w:t>
      </w:r>
    </w:p>
    <w:p>
      <w:pPr>
        <w:spacing w:after="0" w:line="206" w:lineRule="exact"/>
        <w:rPr>
          <w:rFonts w:ascii="Times New Roman" w:cs="Times New Roman" w:eastAsia="Times New Roman" w:hAnsi="Times New Roman"/>
          <w:sz w:val="18"/>
          <w:szCs w:val="18"/>
          <w:color w:val="010000"/>
        </w:rPr>
      </w:pPr>
    </w:p>
    <w:p>
      <w:pPr>
        <w:ind w:left="3380" w:hanging="780"/>
        <w:spacing w:after="0"/>
        <w:tabs>
          <w:tab w:leader="none" w:pos="3380" w:val="left"/>
        </w:tabs>
        <w:numPr>
          <w:ilvl w:val="1"/>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225" w:lineRule="exact"/>
        <w:rPr>
          <w:rFonts w:ascii="Times New Roman" w:cs="Times New Roman" w:eastAsia="Times New Roman" w:hAnsi="Times New Roman"/>
          <w:sz w:val="18"/>
          <w:szCs w:val="18"/>
          <w:color w:val="010000"/>
        </w:rPr>
      </w:pPr>
    </w:p>
    <w:p>
      <w:pPr>
        <w:ind w:left="3380" w:hanging="780"/>
        <w:spacing w:after="0"/>
        <w:tabs>
          <w:tab w:leader="none" w:pos="3380" w:val="left"/>
        </w:tabs>
        <w:numPr>
          <w:ilvl w:val="1"/>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makes a general assignment of substantially all of its property for the benefit of its creditors; or</w:t>
      </w:r>
    </w:p>
    <w:p>
      <w:pPr>
        <w:spacing w:after="0" w:line="225" w:lineRule="exact"/>
        <w:rPr>
          <w:rFonts w:ascii="Times New Roman" w:cs="Times New Roman" w:eastAsia="Times New Roman" w:hAnsi="Times New Roman"/>
          <w:sz w:val="18"/>
          <w:szCs w:val="18"/>
          <w:color w:val="010000"/>
        </w:rPr>
      </w:pPr>
    </w:p>
    <w:p>
      <w:pPr>
        <w:ind w:left="1300" w:right="20" w:firstLine="1300"/>
        <w:spacing w:after="0" w:line="282" w:lineRule="auto"/>
        <w:tabs>
          <w:tab w:leader="none" w:pos="3635" w:val="left"/>
        </w:tabs>
        <w:numPr>
          <w:ilvl w:val="1"/>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transmits its written consent to or acquiescence in the institution of a bankruptcy proceeding or other collective proceeding for relief by or against its creditors generally;</w:t>
      </w:r>
    </w:p>
    <w:p>
      <w:pPr>
        <w:spacing w:after="0" w:line="161" w:lineRule="exact"/>
        <w:rPr>
          <w:rFonts w:ascii="Times New Roman" w:cs="Times New Roman" w:eastAsia="Times New Roman" w:hAnsi="Times New Roman"/>
          <w:sz w:val="18"/>
          <w:szCs w:val="18"/>
          <w:color w:val="010000"/>
        </w:rPr>
      </w:pPr>
    </w:p>
    <w:p>
      <w:pPr>
        <w:ind w:left="2700" w:hanging="748"/>
        <w:spacing w:after="0"/>
        <w:tabs>
          <w:tab w:leader="none" w:pos="2700" w:val="left"/>
        </w:tabs>
        <w:numPr>
          <w:ilvl w:val="0"/>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010000"/>
        </w:rPr>
      </w:pPr>
    </w:p>
    <w:p>
      <w:pPr>
        <w:ind w:left="3380" w:hanging="780"/>
        <w:spacing w:after="0"/>
        <w:tabs>
          <w:tab w:leader="none" w:pos="3380" w:val="left"/>
        </w:tabs>
        <w:numPr>
          <w:ilvl w:val="1"/>
          <w:numId w:val="6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is for relief in an involuntary case against the Company, pursuant to or within the meaning of the Bankruptcy</w:t>
      </w:r>
    </w:p>
    <w:p>
      <w:pPr>
        <w:spacing w:after="0" w:line="38" w:lineRule="exact"/>
        <w:rPr>
          <w:rFonts w:ascii="Times New Roman" w:cs="Times New Roman" w:eastAsia="Times New Roman" w:hAnsi="Times New Roman"/>
          <w:sz w:val="17"/>
          <w:szCs w:val="17"/>
          <w:color w:val="010000"/>
        </w:rPr>
      </w:pPr>
    </w:p>
    <w:p>
      <w:pPr>
        <w:ind w:left="1300"/>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Law;</w:t>
      </w:r>
    </w:p>
    <w:p>
      <w:pPr>
        <w:spacing w:after="0" w:line="206" w:lineRule="exact"/>
        <w:rPr>
          <w:rFonts w:ascii="Times New Roman" w:cs="Times New Roman" w:eastAsia="Times New Roman" w:hAnsi="Times New Roman"/>
          <w:sz w:val="17"/>
          <w:szCs w:val="17"/>
          <w:color w:val="010000"/>
        </w:rPr>
      </w:pPr>
    </w:p>
    <w:p>
      <w:pPr>
        <w:ind w:left="1300" w:firstLine="1300"/>
        <w:spacing w:after="0" w:line="282" w:lineRule="auto"/>
        <w:tabs>
          <w:tab w:leader="none" w:pos="3497" w:val="left"/>
        </w:tabs>
        <w:numPr>
          <w:ilvl w:val="1"/>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appoints a Custodian for all or substantially all of the property of the Company, pursuant to or within the meaning of the Bankruptcy Law; or</w:t>
      </w:r>
    </w:p>
    <w:p>
      <w:pPr>
        <w:spacing w:after="0" w:line="161" w:lineRule="exact"/>
        <w:rPr>
          <w:rFonts w:ascii="Times New Roman" w:cs="Times New Roman" w:eastAsia="Times New Roman" w:hAnsi="Times New Roman"/>
          <w:sz w:val="18"/>
          <w:szCs w:val="18"/>
          <w:color w:val="010000"/>
        </w:rPr>
      </w:pPr>
    </w:p>
    <w:p>
      <w:pPr>
        <w:ind w:left="3460" w:hanging="860"/>
        <w:spacing w:after="0"/>
        <w:tabs>
          <w:tab w:leader="none" w:pos="3460" w:val="left"/>
        </w:tabs>
        <w:numPr>
          <w:ilvl w:val="1"/>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orders the winding up or liquidation of the Company, pursuant to or within the meaning of the Bankruptcy</w:t>
      </w:r>
    </w:p>
    <w:p>
      <w:pPr>
        <w:spacing w:after="0" w:line="27" w:lineRule="exact"/>
        <w:rPr>
          <w:rFonts w:ascii="Times New Roman" w:cs="Times New Roman" w:eastAsia="Times New Roman" w:hAnsi="Times New Roman"/>
          <w:sz w:val="18"/>
          <w:szCs w:val="18"/>
          <w:color w:val="010000"/>
        </w:rPr>
      </w:pPr>
    </w:p>
    <w:p>
      <w:pPr>
        <w:ind w:left="130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Law; and</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case of (A), (B) or (C), the order or decree remains unstayed or not dismissed and in effect for 60 days following the entry, issuance or effective date thereof; or</w:t>
      </w:r>
    </w:p>
    <w:p>
      <w:pPr>
        <w:spacing w:after="0" w:line="162" w:lineRule="exact"/>
        <w:rPr>
          <w:sz w:val="20"/>
          <w:szCs w:val="20"/>
          <w:color w:val="auto"/>
        </w:rPr>
      </w:pPr>
    </w:p>
    <w:p>
      <w:pPr>
        <w:jc w:val="both"/>
        <w:ind w:left="660" w:firstLine="1292"/>
        <w:spacing w:after="0" w:line="266" w:lineRule="auto"/>
        <w:tabs>
          <w:tab w:leader="none" w:pos="2773" w:val="left"/>
        </w:tabs>
        <w:numPr>
          <w:ilvl w:val="1"/>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Subsidiary Guarantee ceases to be in full force and effect (except as contemplated by the terms of the Indenture) or is declared null and void in a judicial proceeding or the Subsidiary Guarantor denies or disaffirms its obligations under the Indenture or the Subsidiary Guarantee, in each case unless the Subsidiary Guarantee has been released pursuant to the terms of the Indenture.</w:t>
      </w:r>
    </w:p>
    <w:p>
      <w:pPr>
        <w:spacing w:after="0" w:line="17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 default under </w:t>
      </w:r>
      <w:r>
        <w:rPr>
          <w:rFonts w:ascii="Times New Roman" w:cs="Times New Roman" w:eastAsia="Times New Roman" w:hAnsi="Times New Roman"/>
          <w:sz w:val="18"/>
          <w:szCs w:val="18"/>
          <w:u w:val="single" w:color="auto"/>
          <w:color w:val="auto"/>
        </w:rPr>
        <w:t>Section 6.1(a)(3)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6.1(a)(4)</w:t>
      </w:r>
      <w:r>
        <w:rPr>
          <w:rFonts w:ascii="Times New Roman" w:cs="Times New Roman" w:eastAsia="Times New Roman" w:hAnsi="Times New Roman"/>
          <w:sz w:val="18"/>
          <w:szCs w:val="18"/>
          <w:color w:val="auto"/>
        </w:rPr>
        <w:t xml:space="preserve"> will not constitute an Event of Default until the Trustee or the Holders of at least 25% in principal amount of the then Outstanding Notes notify the Company in writing of the Default and the Company does not cure such Default within the time specified in </w:t>
      </w:r>
      <w:r>
        <w:rPr>
          <w:rFonts w:ascii="Times New Roman" w:cs="Times New Roman" w:eastAsia="Times New Roman" w:hAnsi="Times New Roman"/>
          <w:sz w:val="18"/>
          <w:szCs w:val="18"/>
          <w:u w:val="single" w:color="auto"/>
          <w:color w:val="auto"/>
        </w:rPr>
        <w:t>Section 6.1(a)(3)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6.1(a)(4)</w:t>
      </w:r>
      <w:r>
        <w:rPr>
          <w:rFonts w:ascii="Times New Roman" w:cs="Times New Roman" w:eastAsia="Times New Roman" w:hAnsi="Times New Roman"/>
          <w:sz w:val="18"/>
          <w:szCs w:val="18"/>
          <w:color w:val="auto"/>
        </w:rPr>
        <w:t xml:space="preserve"> after receipt of such notice. Such notice must specify the Default, demand that it be remedied, and state that such notice is a “Notice of Default.”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010000"/>
        </w:rPr>
        <w:t>SECTION 6.2.</w:t>
      </w:r>
      <w:r>
        <w:rPr>
          <w:sz w:val="20"/>
          <w:szCs w:val="20"/>
          <w:color w:val="auto"/>
        </w:rPr>
        <w:tab/>
      </w:r>
      <w:r>
        <w:rPr>
          <w:rFonts w:ascii="Times New Roman" w:cs="Times New Roman" w:eastAsia="Times New Roman" w:hAnsi="Times New Roman"/>
          <w:sz w:val="17"/>
          <w:szCs w:val="17"/>
          <w:u w:val="single" w:color="auto"/>
          <w:color w:val="auto"/>
        </w:rPr>
        <w:t>Acceleration of Maturity; Rescission and Annulment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If an Event of Default (other than an Event of Default described in </w:t>
      </w:r>
      <w:r>
        <w:rPr>
          <w:rFonts w:ascii="Times New Roman" w:cs="Times New Roman" w:eastAsia="Times New Roman" w:hAnsi="Times New Roman"/>
          <w:sz w:val="18"/>
          <w:szCs w:val="18"/>
          <w:u w:val="single" w:color="auto"/>
          <w:color w:val="auto"/>
        </w:rPr>
        <w:t>Section 6.1(a)(6)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occurs and is continuing, the Trustee by written notice to the Company, or Holders of at least 25% in principal amount of the then outstanding Notes by written notice to the Company and the Trustee, may, and the Trustee at the request of Holders of at least 25% in principal amount of the then Outstanding Notes shall, declare the principal, premium, if any, and accrued and unpaid interest, if any, on all the Notes to be due and payable. Such notice must specify the Event of Default and state that such notice is a “Notice of Acceleration.” Upon such a declaration, such principal, premium, if any, and accrued and unpaid interest will be due and payable immediately.</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In the event of a declaration of acceleration of the Notes because an Event of Default described in </w:t>
      </w:r>
      <w:r>
        <w:rPr>
          <w:rFonts w:ascii="Times New Roman" w:cs="Times New Roman" w:eastAsia="Times New Roman" w:hAnsi="Times New Roman"/>
          <w:sz w:val="18"/>
          <w:szCs w:val="18"/>
          <w:u w:val="single" w:color="auto"/>
          <w:color w:val="auto"/>
        </w:rPr>
        <w:t>Section 6.1(a)(5)</w:t>
      </w:r>
      <w:r>
        <w:rPr>
          <w:rFonts w:ascii="Times New Roman" w:cs="Times New Roman" w:eastAsia="Times New Roman" w:hAnsi="Times New Roman"/>
          <w:sz w:val="18"/>
          <w:szCs w:val="18"/>
          <w:color w:val="auto"/>
        </w:rPr>
        <w:t xml:space="preserve"> has occurred and is continuing, the declaration of acceleration of the Notes shall be automatically annulled if the Default triggering such Event of Default pursuant to </w:t>
      </w:r>
      <w:r>
        <w:rPr>
          <w:rFonts w:ascii="Times New Roman" w:cs="Times New Roman" w:eastAsia="Times New Roman" w:hAnsi="Times New Roman"/>
          <w:sz w:val="18"/>
          <w:szCs w:val="18"/>
          <w:u w:val="single" w:color="auto"/>
          <w:color w:val="auto"/>
        </w:rPr>
        <w:t>Section 6.1(a)(5)</w:t>
      </w:r>
      <w:r>
        <w:rPr>
          <w:rFonts w:ascii="Times New Roman" w:cs="Times New Roman" w:eastAsia="Times New Roman" w:hAnsi="Times New Roman"/>
          <w:sz w:val="18"/>
          <w:szCs w:val="18"/>
          <w:color w:val="auto"/>
        </w:rPr>
        <w:t xml:space="preserve"> shall be remedied or cured by the Company or waived by the Holders of the relevant Indebtedness within 20 days after the written notice of declaration of acceleration of the Notes with respect thereto is received by the Company and if (1) the annulment of the acceleration of the Notes would not conflict with any judgment or decree of a court of competent jurisdiction and (2) all existing Events of Default, except nonpayment of principal, premium, if any, or interest on the Notes that became due solely because of the acceleration of the Notes, have been cured or waived.</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If an Event of Default pursuant to </w:t>
      </w:r>
      <w:r>
        <w:rPr>
          <w:rFonts w:ascii="Times New Roman" w:cs="Times New Roman" w:eastAsia="Times New Roman" w:hAnsi="Times New Roman"/>
          <w:sz w:val="18"/>
          <w:szCs w:val="18"/>
          <w:u w:val="single" w:color="auto"/>
          <w:color w:val="auto"/>
        </w:rPr>
        <w:t>Section 6.1(a)(6)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occurs, the principal, premium, if any, and accrued and unpaid interest on all the Notes will become and be immediately due and payable without any declaration or other act on the part of the Trustee or any Holders.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At any time after a declaration of acceleration, but before a judgment or decree for the payment of the money due has been obtained by the Trustee, the Holders of a majority in principal amount of the Outstanding Notes may by notice to the Trustee and the Company (including, without limitation, waivers and consents obtained in connection with a purchase of, or tender offer or exchange offer for, Notes) waive all past defaults (except with respect to nonpayment of principal, premium, if any, or interest) and rescind any such acceleration with respect to the Notes and its consequences if</w:t>
      </w:r>
    </w:p>
    <w:p>
      <w:pPr>
        <w:spacing w:after="0" w:line="3" w:lineRule="exact"/>
        <w:rPr>
          <w:sz w:val="20"/>
          <w:szCs w:val="20"/>
          <w:color w:val="auto"/>
        </w:rPr>
      </w:pPr>
    </w:p>
    <w:p>
      <w:pPr>
        <w:jc w:val="both"/>
        <w:ind w:firstLine="8"/>
        <w:spacing w:after="0" w:line="255" w:lineRule="auto"/>
        <w:tabs>
          <w:tab w:leader="none" w:pos="2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rescission would not conflict with any judgment or decree of a court of competent jurisdiction and (2) all existing Events of Default, other than the nonpayment of the principal of, premium, if any, and interest on the Notes that have become due solely by such declaration of acceleration, have been cured or waived.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SATISFACTION AND DISCHARGE; DEFEASANCE</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satisfaction and discharge and Defeasance and Covenant Defeasance provisions in Articles IV and XIII of the Base Indenture shall be applicable to the Notes and any Guarantee thereof.</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In the case of a Covenant Defeasance, (i) the Company will be released from its obligations to comply with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of this Supplemental Indenture (for the benefit of Holders of Notes) and Section 1004 of the Base Indenture (for the benefit of Holders of Notes) and Section 801 of the Base Indenture (other than Section 8.01(2)) and (ii) the events described in </w:t>
      </w:r>
      <w:r>
        <w:rPr>
          <w:rFonts w:ascii="Times New Roman" w:cs="Times New Roman" w:eastAsia="Times New Roman" w:hAnsi="Times New Roman"/>
          <w:sz w:val="18"/>
          <w:szCs w:val="18"/>
          <w:u w:val="single" w:color="auto"/>
          <w:color w:val="auto"/>
        </w:rPr>
        <w:t>Section 6.1(a), clauses (3), (4),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of this Supplemental Indenture shall no longer constitute Events of Default with respect to Notes.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the Company exercises its Defeasance or its Covenant Defeasance option or satisfies and discharges the Indenture with respect to the Notes, in each case all Guarantees (if any are in effect at such time) will terminate.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010000"/>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SUPPLEMENT AND WAIVER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Article IX of the Base Indenture shall not apply to the Notes, provided that nothing in this Supplemental Indenture shall limit or affect the provisions of Article IX of the Base Indenture (including Section 901(5) and Section 901(7) thereof) insofar as relating to any amendment or waiver in respect of any series of Securities other than the Notes.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8.1. </w:t>
      </w:r>
      <w:r>
        <w:rPr>
          <w:rFonts w:ascii="Times New Roman" w:cs="Times New Roman" w:eastAsia="Times New Roman" w:hAnsi="Times New Roman"/>
          <w:sz w:val="18"/>
          <w:szCs w:val="18"/>
          <w:u w:val="single" w:color="auto"/>
          <w:color w:val="000000"/>
        </w:rPr>
        <w:t>Without Consent of Holders</w:t>
      </w:r>
      <w:r>
        <w:rPr>
          <w:rFonts w:ascii="Times New Roman" w:cs="Times New Roman" w:eastAsia="Times New Roman" w:hAnsi="Times New Roman"/>
          <w:sz w:val="18"/>
          <w:szCs w:val="18"/>
          <w:color w:val="000000"/>
        </w:rPr>
        <w:t>. Notwithstanding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8.3</w:t>
      </w:r>
      <w:r>
        <w:rPr>
          <w:rFonts w:ascii="Times New Roman" w:cs="Times New Roman" w:eastAsia="Times New Roman" w:hAnsi="Times New Roman"/>
          <w:sz w:val="18"/>
          <w:szCs w:val="18"/>
          <w:color w:val="000000"/>
        </w:rPr>
        <w:t>, without the consent of any Holder of Notes,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Company and the Trustee may amend or supplement this Supplemental Indenture, the Base Indenture as it relates to the Notes (including the Subsidiary Guarantee) and the Notes to:</w:t>
      </w:r>
    </w:p>
    <w:p>
      <w:pPr>
        <w:spacing w:after="0" w:line="176" w:lineRule="exact"/>
        <w:rPr>
          <w:sz w:val="20"/>
          <w:szCs w:val="20"/>
          <w:color w:val="auto"/>
        </w:rPr>
      </w:pPr>
    </w:p>
    <w:p>
      <w:pPr>
        <w:ind w:left="2700" w:hanging="748"/>
        <w:spacing w:after="0"/>
        <w:tabs>
          <w:tab w:leader="none" w:pos="270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cure any ambiguity, omission, defect or inconsistency;</w:t>
      </w:r>
    </w:p>
    <w:p>
      <w:pPr>
        <w:spacing w:after="0" w:line="225" w:lineRule="exact"/>
        <w:rPr>
          <w:rFonts w:ascii="Times New Roman" w:cs="Times New Roman" w:eastAsia="Times New Roman" w:hAnsi="Times New Roman"/>
          <w:sz w:val="18"/>
          <w:szCs w:val="18"/>
          <w:color w:val="010000"/>
        </w:rPr>
      </w:pPr>
    </w:p>
    <w:p>
      <w:pPr>
        <w:ind w:left="660" w:firstLine="1292"/>
        <w:spacing w:after="0" w:line="282" w:lineRule="auto"/>
        <w:tabs>
          <w:tab w:leader="none" w:pos="3029"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provide for the assumption by a successor entity of the obligations of the Company under this Supplemental Indenture, the Base Indenture (as it relates to the Notes) or the Notes in accordance with Section 801 and Section 802 of the Base Indenture;</w:t>
      </w:r>
    </w:p>
    <w:p>
      <w:pPr>
        <w:spacing w:after="0" w:line="161" w:lineRule="exact"/>
        <w:rPr>
          <w:rFonts w:ascii="Times New Roman" w:cs="Times New Roman" w:eastAsia="Times New Roman" w:hAnsi="Times New Roman"/>
          <w:sz w:val="18"/>
          <w:szCs w:val="18"/>
          <w:color w:val="010000"/>
        </w:rPr>
      </w:pPr>
    </w:p>
    <w:p>
      <w:pPr>
        <w:ind w:left="660" w:firstLine="1292"/>
        <w:spacing w:after="0" w:line="282" w:lineRule="auto"/>
        <w:tabs>
          <w:tab w:leader="none" w:pos="2773"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provide for or facilitate the issuance of uncertificated Notes in addition to or in place of certificated Notes (provided that the uncertificated Notes are issued in registered form for purposes of Section 163(f) of the Code);</w:t>
      </w:r>
    </w:p>
    <w:p>
      <w:pPr>
        <w:spacing w:after="0" w:line="161" w:lineRule="exact"/>
        <w:rPr>
          <w:rFonts w:ascii="Times New Roman" w:cs="Times New Roman" w:eastAsia="Times New Roman" w:hAnsi="Times New Roman"/>
          <w:sz w:val="18"/>
          <w:szCs w:val="18"/>
          <w:color w:val="010000"/>
        </w:rPr>
      </w:pPr>
    </w:p>
    <w:p>
      <w:pPr>
        <w:ind w:left="660" w:right="20" w:firstLine="1292"/>
        <w:spacing w:after="0" w:line="282" w:lineRule="auto"/>
        <w:tabs>
          <w:tab w:leader="none" w:pos="280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add Guarantees with respect to the Notes, evidence the release of a Guarantor from its Guarantee or provide for the assumption by a successor entity of the obligations of a Guarantor in accordance with the applicable provisions of the Indenture;</w:t>
      </w:r>
    </w:p>
    <w:p>
      <w:pPr>
        <w:spacing w:after="0" w:line="161" w:lineRule="exact"/>
        <w:rPr>
          <w:rFonts w:ascii="Times New Roman" w:cs="Times New Roman" w:eastAsia="Times New Roman" w:hAnsi="Times New Roman"/>
          <w:sz w:val="18"/>
          <w:szCs w:val="18"/>
          <w:color w:val="010000"/>
        </w:rPr>
      </w:pPr>
    </w:p>
    <w:p>
      <w:pPr>
        <w:ind w:left="2700" w:hanging="748"/>
        <w:spacing w:after="0"/>
        <w:tabs>
          <w:tab w:leader="none" w:pos="270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secure the Notes or any Guarantee thereof;</w:t>
      </w:r>
    </w:p>
    <w:p>
      <w:pPr>
        <w:spacing w:after="0" w:line="225" w:lineRule="exact"/>
        <w:rPr>
          <w:rFonts w:ascii="Times New Roman" w:cs="Times New Roman" w:eastAsia="Times New Roman" w:hAnsi="Times New Roman"/>
          <w:sz w:val="18"/>
          <w:szCs w:val="18"/>
          <w:color w:val="010000"/>
        </w:rPr>
      </w:pPr>
    </w:p>
    <w:p>
      <w:pPr>
        <w:jc w:val="both"/>
        <w:ind w:left="660" w:firstLine="1292"/>
        <w:spacing w:after="0" w:line="266" w:lineRule="auto"/>
        <w:tabs>
          <w:tab w:leader="none" w:pos="2773"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add covenants of the Company or other obligor under the Indenture or the Notes or any Guarantees, as the case may be, or Events of Default for the benefit of the Holders of the Notes or the Guarantee or to make other changes that would provide additional rights to the Holders of the Notes or to surrender any right or power conferred upon the Company or other such obligor;</w:t>
      </w:r>
    </w:p>
    <w:p>
      <w:pPr>
        <w:spacing w:after="0" w:line="175" w:lineRule="exact"/>
        <w:rPr>
          <w:rFonts w:ascii="Times New Roman" w:cs="Times New Roman" w:eastAsia="Times New Roman" w:hAnsi="Times New Roman"/>
          <w:sz w:val="18"/>
          <w:szCs w:val="18"/>
          <w:color w:val="010000"/>
        </w:rPr>
      </w:pPr>
    </w:p>
    <w:p>
      <w:pPr>
        <w:ind w:left="2700" w:hanging="748"/>
        <w:spacing w:after="0"/>
        <w:tabs>
          <w:tab w:leader="none" w:pos="270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any change that does not adversely affect the legal or contractual rights of any Holder under the Indenture or the</w:t>
      </w:r>
    </w:p>
    <w:p>
      <w:pPr>
        <w:spacing w:after="0" w:line="27" w:lineRule="exact"/>
        <w:rPr>
          <w:rFonts w:ascii="Times New Roman" w:cs="Times New Roman" w:eastAsia="Times New Roman" w:hAnsi="Times New Roman"/>
          <w:sz w:val="18"/>
          <w:szCs w:val="18"/>
          <w:color w:val="010000"/>
        </w:rPr>
      </w:pP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Notes;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left="660" w:firstLine="1292"/>
        <w:spacing w:after="0" w:line="284" w:lineRule="auto"/>
        <w:tabs>
          <w:tab w:leader="none" w:pos="2786"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evidence and provide for the acceptance of an appointment under the Indenture of a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successor trustee is otherwise qualified and eligible to act as such under the terms of the Indenture;</w:t>
      </w:r>
    </w:p>
    <w:p>
      <w:pPr>
        <w:spacing w:after="0" w:line="376" w:lineRule="exact"/>
        <w:rPr>
          <w:rFonts w:ascii="Times New Roman" w:cs="Times New Roman" w:eastAsia="Times New Roman" w:hAnsi="Times New Roman"/>
          <w:sz w:val="18"/>
          <w:szCs w:val="18"/>
          <w:color w:val="010000"/>
        </w:rPr>
      </w:pPr>
    </w:p>
    <w:p>
      <w:pPr>
        <w:ind w:left="2700" w:hanging="748"/>
        <w:spacing w:after="0"/>
        <w:tabs>
          <w:tab w:leader="none" w:pos="2700"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provide for the issuance of Additional Notes permitted to be issued under the Indenture;</w:t>
      </w:r>
    </w:p>
    <w:p>
      <w:pPr>
        <w:spacing w:after="0" w:line="225" w:lineRule="exact"/>
        <w:rPr>
          <w:rFonts w:ascii="Times New Roman" w:cs="Times New Roman" w:eastAsia="Times New Roman" w:hAnsi="Times New Roman"/>
          <w:sz w:val="18"/>
          <w:szCs w:val="18"/>
          <w:color w:val="010000"/>
        </w:rPr>
      </w:pPr>
    </w:p>
    <w:p>
      <w:pPr>
        <w:ind w:left="2800" w:hanging="848"/>
        <w:spacing w:after="0"/>
        <w:tabs>
          <w:tab w:leader="none" w:pos="2800"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comply with the rules of any applicable securities depositary; or</w:t>
      </w:r>
    </w:p>
    <w:p>
      <w:pPr>
        <w:spacing w:after="0" w:line="225" w:lineRule="exact"/>
        <w:rPr>
          <w:rFonts w:ascii="Times New Roman" w:cs="Times New Roman" w:eastAsia="Times New Roman" w:hAnsi="Times New Roman"/>
          <w:sz w:val="18"/>
          <w:szCs w:val="18"/>
          <w:color w:val="010000"/>
        </w:rPr>
      </w:pPr>
    </w:p>
    <w:p>
      <w:pPr>
        <w:jc w:val="both"/>
        <w:ind w:left="660" w:firstLine="1292"/>
        <w:spacing w:after="0" w:line="258" w:lineRule="auto"/>
        <w:tabs>
          <w:tab w:leader="none" w:pos="2924"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conform the text of this Supplemental Indenture, the Base Indenture (as it relates to the Notes and the Subsidiary Guarantee), the Notes or the Guarantee to any provision of the section of the Company’s Prospectus Supplement dated November 29, 2022 entitled “Description of Notes” or the “Description of Debt Securities” set forth in the accompanying base prospectus to the extent that such provision in the “Description of Notes” or the “Description of Debt Securities” was intended to be a verbatim recitation of a provision of the Indenture, the Notes or the Guarantee, which intent shall be established by an Officer’s Certificate.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After an amendment, supplement or waiver under the Indenture becomes effective, the Company is required to send to the Holders a notice briefly describing such amendment, supplement or waiver. However, the failure to give such notice to all the Holders, or any defect in the notice, will not impair or affect the validity of any amendment, supplement or waiver.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SECTION 8.2. </w:t>
      </w:r>
      <w:r>
        <w:rPr>
          <w:rFonts w:ascii="Times New Roman" w:cs="Times New Roman" w:eastAsia="Times New Roman" w:hAnsi="Times New Roman"/>
          <w:sz w:val="18"/>
          <w:szCs w:val="18"/>
          <w:u w:val="single" w:color="auto"/>
          <w:color w:val="000000"/>
        </w:rPr>
        <w:t>With Consent of Holders</w:t>
      </w:r>
      <w:r>
        <w:rPr>
          <w:rFonts w:ascii="Times New Roman" w:cs="Times New Roman" w:eastAsia="Times New Roman" w:hAnsi="Times New Roman"/>
          <w:sz w:val="18"/>
          <w:szCs w:val="18"/>
          <w:color w:val="000000"/>
        </w:rPr>
        <w:t>. Except as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8.3</w:t>
      </w:r>
      <w:r>
        <w:rPr>
          <w:rFonts w:ascii="Times New Roman" w:cs="Times New Roman" w:eastAsia="Times New Roman" w:hAnsi="Times New Roman"/>
          <w:sz w:val="18"/>
          <w:szCs w:val="18"/>
          <w:color w:val="000000"/>
        </w:rPr>
        <w:t>, the Company and the Trustee may amend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supplement this Supplemental Indenture, the Base Indenture (as it relates to the Notes) and the Notes with the consent of the Holders of a majority in principal amount of the Notes then Outstanding voting as a single class (including, without limitation, consents obtained in connection with a purchase of, or tender offer or exchange offer for, Notes) and any past default or compliance with any provisions of this Supplemental Indenture, the Base Indenture (as it relates to the Notes) and the Notes may be waived with the consent of the Holders of a majority in principal amount of the Notes then Outstanding voting as a single class (including, without limitation, consents obtained in connection with a purchase of, or tender offer or exchange offer for, Notes).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consent of the Holders is not necessary under the Indenture to approve the particular form of any proposed amendment, supplement or waiver. It is sufficient if such consent approves the substance of the proposed amendment, supplement or waiver. A consent to any amendment, supplement or waiver under the Indenture by any Holder of Notes given in connection with a tender of such Holder’s Notes will not be rendered invalid by such tender.</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8.3. </w:t>
      </w:r>
      <w:r>
        <w:rPr>
          <w:rFonts w:ascii="Times New Roman" w:cs="Times New Roman" w:eastAsia="Times New Roman" w:hAnsi="Times New Roman"/>
          <w:sz w:val="18"/>
          <w:szCs w:val="18"/>
          <w:u w:val="single" w:color="auto"/>
          <w:color w:val="000000"/>
        </w:rPr>
        <w:t>Limitations</w:t>
      </w:r>
      <w:r>
        <w:rPr>
          <w:rFonts w:ascii="Times New Roman" w:cs="Times New Roman" w:eastAsia="Times New Roman" w:hAnsi="Times New Roman"/>
          <w:sz w:val="18"/>
          <w:szCs w:val="18"/>
          <w:color w:val="000000"/>
        </w:rPr>
        <w:t>. Notwithstanding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8.2</w:t>
      </w:r>
      <w:r>
        <w:rPr>
          <w:rFonts w:ascii="Times New Roman" w:cs="Times New Roman" w:eastAsia="Times New Roman" w:hAnsi="Times New Roman"/>
          <w:sz w:val="18"/>
          <w:szCs w:val="18"/>
          <w:color w:val="000000"/>
        </w:rPr>
        <w:t>, without the consent of each Holder of an Outstanding Note affected, no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amendment, supplement or waiver may (with respect to any Notes held by a non-consenting Holder):</w:t>
      </w:r>
    </w:p>
    <w:p>
      <w:pPr>
        <w:spacing w:after="0" w:line="162" w:lineRule="exact"/>
        <w:rPr>
          <w:sz w:val="20"/>
          <w:szCs w:val="20"/>
          <w:color w:val="auto"/>
        </w:rPr>
      </w:pPr>
    </w:p>
    <w:p>
      <w:pPr>
        <w:ind w:left="5520" w:right="780" w:hanging="3568"/>
        <w:spacing w:after="0" w:line="783" w:lineRule="auto"/>
        <w:tabs>
          <w:tab w:leader="none" w:pos="271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reduce the principal amount of Notes whose Holders must consent to an amendment, supplement or waiver;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2" w:name="page113"/>
    <w:bookmarkEnd w:id="112"/>
    <w:p>
      <w:pPr>
        <w:ind w:left="2700" w:hanging="748"/>
        <w:spacing w:after="0"/>
        <w:tabs>
          <w:tab w:leader="none" w:pos="2700"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reduce the stated rate of interest or extend the stated time for payment of interest on any Note;</w:t>
      </w:r>
    </w:p>
    <w:p>
      <w:pPr>
        <w:spacing w:after="0" w:line="225" w:lineRule="exact"/>
        <w:rPr>
          <w:rFonts w:ascii="Times New Roman" w:cs="Times New Roman" w:eastAsia="Times New Roman" w:hAnsi="Times New Roman"/>
          <w:sz w:val="18"/>
          <w:szCs w:val="18"/>
          <w:color w:val="010000"/>
        </w:rPr>
      </w:pPr>
    </w:p>
    <w:p>
      <w:pPr>
        <w:ind w:left="2700" w:hanging="748"/>
        <w:spacing w:after="0"/>
        <w:tabs>
          <w:tab w:leader="none" w:pos="2700"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reduce the principal of or extend the Stated Maturity of any Note;</w:t>
      </w:r>
    </w:p>
    <w:p>
      <w:pPr>
        <w:spacing w:after="0" w:line="225" w:lineRule="exact"/>
        <w:rPr>
          <w:rFonts w:ascii="Times New Roman" w:cs="Times New Roman" w:eastAsia="Times New Roman" w:hAnsi="Times New Roman"/>
          <w:sz w:val="18"/>
          <w:szCs w:val="18"/>
          <w:color w:val="010000"/>
        </w:rPr>
      </w:pPr>
    </w:p>
    <w:p>
      <w:pPr>
        <w:jc w:val="both"/>
        <w:ind w:left="660" w:firstLine="1292"/>
        <w:spacing w:after="0" w:line="266" w:lineRule="auto"/>
        <w:tabs>
          <w:tab w:leader="none" w:pos="2719"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waive a Default or Event of Default in the payment of principal of, premium, if any, or interest on the Notes (except a rescission of acceleration of the Notes by Holders of a majority in aggregate principal amount of the then outstanding Notes with respect to a nonpayment default and a waiver of the payment default that resulted from such acceleration);</w:t>
      </w:r>
    </w:p>
    <w:p>
      <w:pPr>
        <w:spacing w:after="0" w:line="175" w:lineRule="exact"/>
        <w:rPr>
          <w:rFonts w:ascii="Times New Roman" w:cs="Times New Roman" w:eastAsia="Times New Roman" w:hAnsi="Times New Roman"/>
          <w:sz w:val="18"/>
          <w:szCs w:val="18"/>
          <w:color w:val="010000"/>
        </w:rPr>
      </w:pPr>
    </w:p>
    <w:p>
      <w:pPr>
        <w:ind w:left="660" w:firstLine="1292"/>
        <w:spacing w:after="0" w:line="282" w:lineRule="auto"/>
        <w:tabs>
          <w:tab w:leader="none" w:pos="2705"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reduce the premium payable upon the redemption of any Note or change the time at which any Note may be redeemed as described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whether through an amendment or waiver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related definitions or otherwise;</w:t>
      </w:r>
    </w:p>
    <w:p>
      <w:pPr>
        <w:spacing w:after="0" w:line="161" w:lineRule="exact"/>
        <w:rPr>
          <w:rFonts w:ascii="Times New Roman" w:cs="Times New Roman" w:eastAsia="Times New Roman" w:hAnsi="Times New Roman"/>
          <w:sz w:val="18"/>
          <w:szCs w:val="18"/>
          <w:color w:val="010000"/>
        </w:rPr>
      </w:pPr>
    </w:p>
    <w:p>
      <w:pPr>
        <w:ind w:left="2700" w:hanging="748"/>
        <w:spacing w:after="0"/>
        <w:tabs>
          <w:tab w:leader="none" w:pos="2700"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any Note payable in money other than that stated in the Note;</w:t>
      </w:r>
    </w:p>
    <w:p>
      <w:pPr>
        <w:spacing w:after="0" w:line="225" w:lineRule="exact"/>
        <w:rPr>
          <w:rFonts w:ascii="Times New Roman" w:cs="Times New Roman" w:eastAsia="Times New Roman" w:hAnsi="Times New Roman"/>
          <w:sz w:val="18"/>
          <w:szCs w:val="18"/>
          <w:color w:val="010000"/>
        </w:rPr>
      </w:pPr>
    </w:p>
    <w:p>
      <w:pPr>
        <w:ind w:left="660" w:firstLine="1292"/>
        <w:spacing w:after="0" w:line="282" w:lineRule="auto"/>
        <w:tabs>
          <w:tab w:leader="none" w:pos="2773"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impair the right of any Holder to receive payment of principal, premium, if any, and interest on such Holder’s Notes on or after the due dates therefor or to institute suit for the enforcement of any payment on or with respect to such Holder’s Notes;</w:t>
      </w:r>
    </w:p>
    <w:p>
      <w:pPr>
        <w:spacing w:after="0" w:line="161" w:lineRule="exact"/>
        <w:rPr>
          <w:rFonts w:ascii="Times New Roman" w:cs="Times New Roman" w:eastAsia="Times New Roman" w:hAnsi="Times New Roman"/>
          <w:sz w:val="18"/>
          <w:szCs w:val="18"/>
          <w:color w:val="010000"/>
        </w:rPr>
      </w:pPr>
    </w:p>
    <w:p>
      <w:pPr>
        <w:ind w:left="2700" w:hanging="748"/>
        <w:spacing w:after="0"/>
        <w:tabs>
          <w:tab w:leader="none" w:pos="2700"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modify the Subsidiary Guarantee of the Notes in any manner adverse to the Holders of the Notes; or</w:t>
      </w:r>
    </w:p>
    <w:p>
      <w:pPr>
        <w:spacing w:after="0" w:line="225" w:lineRule="exact"/>
        <w:rPr>
          <w:rFonts w:ascii="Times New Roman" w:cs="Times New Roman" w:eastAsia="Times New Roman" w:hAnsi="Times New Roman"/>
          <w:sz w:val="18"/>
          <w:szCs w:val="18"/>
          <w:color w:val="010000"/>
        </w:rPr>
      </w:pPr>
    </w:p>
    <w:p>
      <w:pPr>
        <w:ind w:left="2700" w:hanging="748"/>
        <w:spacing w:after="0"/>
        <w:tabs>
          <w:tab w:leader="none" w:pos="2700"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any change in the amendment or waiver provisions that require each Holder’s consent.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8.4. </w:t>
      </w:r>
      <w:r>
        <w:rPr>
          <w:rFonts w:ascii="Times New Roman" w:cs="Times New Roman" w:eastAsia="Times New Roman" w:hAnsi="Times New Roman"/>
          <w:sz w:val="18"/>
          <w:szCs w:val="18"/>
          <w:u w:val="single" w:color="auto"/>
          <w:color w:val="000000"/>
        </w:rPr>
        <w:t>Compliance with Trust Indenture Act</w:t>
      </w:r>
      <w:r>
        <w:rPr>
          <w:rFonts w:ascii="Times New Roman" w:cs="Times New Roman" w:eastAsia="Times New Roman" w:hAnsi="Times New Roman"/>
          <w:sz w:val="18"/>
          <w:szCs w:val="18"/>
          <w:color w:val="000000"/>
        </w:rPr>
        <w:t>. Every amendment to this Supplemental Indenture, the Base Indenture (as it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relates to the Notes) or the Notes shall be set forth in a supplemental indenture hereto that complies with the Trust Indenture Act as then in effect. The Trustee shall have no responsibility or liability for whether this Supplemental Indenture, the Base Indenture, the Notes, or any amendment to any of them complies with the Trust Indenture Act or the Company’s compliance with the Trust Indenture Act.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SECTION 8.5. </w:t>
      </w:r>
      <w:r>
        <w:rPr>
          <w:rFonts w:ascii="Times New Roman" w:cs="Times New Roman" w:eastAsia="Times New Roman" w:hAnsi="Times New Roman"/>
          <w:sz w:val="18"/>
          <w:szCs w:val="18"/>
          <w:u w:val="single" w:color="auto"/>
          <w:color w:val="000000"/>
        </w:rPr>
        <w:t>Revocation and Effect of Consents</w:t>
      </w:r>
      <w:r>
        <w:rPr>
          <w:rFonts w:ascii="Times New Roman" w:cs="Times New Roman" w:eastAsia="Times New Roman" w:hAnsi="Times New Roman"/>
          <w:sz w:val="18"/>
          <w:szCs w:val="18"/>
          <w:color w:val="000000"/>
        </w:rPr>
        <w:t>. Until an amendment, supplement or waiver becomes effective, a consent to it by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Holder of Notes is a continuing consent by the Holder and every subsequent Holder of the Notes or portion of such Notes that evidences the same debt as the consenting Holder’s Note or Notes, even if notation of the consent is not made on any such Note. However, any such Holder or subsequent Holder may revoke the consent as to its Notes or portion of such Notes if the Trustee receives the notice of revocation before the date the amendment or waiver becomes effective.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Any amendment or waiver in respect of the Notes once effective shall bind every Holder of Notes affected by such amendment or waiver unless it is of the type described in any of the clauses of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In that case, the amendment or waiver shall bind each Holder of a Note who has consented to it and every subsequent Holder of a Note or portion of a Note that evidences the same debt as the consenting Holder’s Note.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give their consent or take any other action described above or required or permitted to be taken pursuant to this Supplemental Indenture in respect of the Notes or the Base Indenture (as it relates to the Notes). If a record date is fixed, then notwithstanding the immediately preceding paragraph, those Persons who were Holders of Notes at such record date (or their duly designated proxies), and only those Persons, shall be entitled to give such consent or to revoke any consent previously given or to take any such action, whether or not such Persons continue to be Holders of Notes after such record date.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8.6. </w:t>
      </w:r>
      <w:r>
        <w:rPr>
          <w:rFonts w:ascii="Times New Roman" w:cs="Times New Roman" w:eastAsia="Times New Roman" w:hAnsi="Times New Roman"/>
          <w:sz w:val="18"/>
          <w:szCs w:val="18"/>
          <w:u w:val="single" w:color="auto"/>
          <w:color w:val="000000"/>
        </w:rPr>
        <w:t>Notation on or Exchange of Notes</w:t>
      </w:r>
      <w:r>
        <w:rPr>
          <w:rFonts w:ascii="Times New Roman" w:cs="Times New Roman" w:eastAsia="Times New Roman" w:hAnsi="Times New Roman"/>
          <w:sz w:val="18"/>
          <w:szCs w:val="18"/>
          <w:color w:val="000000"/>
        </w:rPr>
        <w:t>. The Trustee may place an appropriate notation about an amendment or waiver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Notes. The Company in exchange for the Notes may issue and the Trustee shall authenticate upon written request new Notes that reflect the amendment or waiver.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8.7. </w:t>
      </w:r>
      <w:r>
        <w:rPr>
          <w:rFonts w:ascii="Times New Roman" w:cs="Times New Roman" w:eastAsia="Times New Roman" w:hAnsi="Times New Roman"/>
          <w:sz w:val="18"/>
          <w:szCs w:val="18"/>
          <w:u w:val="single" w:color="auto"/>
          <w:color w:val="000000"/>
        </w:rPr>
        <w:t>Effect of Supplemental Indenture</w:t>
      </w:r>
      <w:r>
        <w:rPr>
          <w:rFonts w:ascii="Times New Roman" w:cs="Times New Roman" w:eastAsia="Times New Roman" w:hAnsi="Times New Roman"/>
          <w:sz w:val="18"/>
          <w:szCs w:val="18"/>
          <w:color w:val="000000"/>
        </w:rPr>
        <w:t>. Upon the execution of any supplemental indenture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Indenture (including this Supplemental Indenture) shall be modified in accordance therewith, and such supplemental indenture shall form a part of the Indenture for all purposes; and, subject to </w:t>
      </w:r>
      <w:r>
        <w:rPr>
          <w:rFonts w:ascii="Times New Roman" w:cs="Times New Roman" w:eastAsia="Times New Roman" w:hAnsi="Times New Roman"/>
          <w:sz w:val="18"/>
          <w:szCs w:val="18"/>
          <w:u w:val="single" w:color="auto"/>
          <w:color w:val="000000"/>
        </w:rPr>
        <w:t>Section 8.3</w:t>
      </w:r>
      <w:r>
        <w:rPr>
          <w:rFonts w:ascii="Times New Roman" w:cs="Times New Roman" w:eastAsia="Times New Roman" w:hAnsi="Times New Roman"/>
          <w:sz w:val="18"/>
          <w:szCs w:val="18"/>
          <w:color w:val="000000"/>
        </w:rPr>
        <w:t>, every Holder of Notes theretofore or thereafter authenticated and delivered hereunder shall be bound thereby.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SUBSIDIARY GUARANTEE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Article XIV of the Base Indenture shall apply to the Notes, except as described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Notes will be fully and unconditionally Guaranteed (such Guarantee, the “</w:t>
      </w:r>
      <w:r>
        <w:rPr>
          <w:rFonts w:ascii="Times New Roman" w:cs="Times New Roman" w:eastAsia="Times New Roman" w:hAnsi="Times New Roman"/>
          <w:sz w:val="18"/>
          <w:szCs w:val="18"/>
          <w:u w:val="single" w:color="auto"/>
          <w:color w:val="auto"/>
        </w:rPr>
        <w:t>Subsidiary Guarantee</w:t>
      </w:r>
      <w:r>
        <w:rPr>
          <w:rFonts w:ascii="Times New Roman" w:cs="Times New Roman" w:eastAsia="Times New Roman" w:hAnsi="Times New Roman"/>
          <w:sz w:val="18"/>
          <w:szCs w:val="18"/>
          <w:color w:val="auto"/>
        </w:rPr>
        <w:t>”) by Diamondback E&amp;P LLC (such entity during the period (and only during such period) that the Subsidiary Guarantee is in effect, the “</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as a “Guarantor” as defined in the Base Indenture.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9.1. </w:t>
      </w:r>
      <w:r>
        <w:rPr>
          <w:rFonts w:ascii="Times New Roman" w:cs="Times New Roman" w:eastAsia="Times New Roman" w:hAnsi="Times New Roman"/>
          <w:sz w:val="18"/>
          <w:szCs w:val="18"/>
          <w:u w:val="single" w:color="auto"/>
          <w:color w:val="000000"/>
        </w:rPr>
        <w:t>Release of a Guarantor</w:t>
      </w:r>
      <w:r>
        <w:rPr>
          <w:rFonts w:ascii="Times New Roman" w:cs="Times New Roman" w:eastAsia="Times New Roman" w:hAnsi="Times New Roman"/>
          <w:sz w:val="18"/>
          <w:szCs w:val="18"/>
          <w:color w:val="000000"/>
        </w:rPr>
        <w:t>. Solely with respect to the Notes, the ninth paragraph of Section 1401 of the Base Indenture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not apply to the Notes and instead the following shall apply: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Subsidiary Guarantor shall be released and discharged automatically and unconditionally from all its obligations under the Indenture and its Guarantee with respect to the Notes, and will cease to be a Guarantor with respect to the Notes, without any further action required on the part of the Trustee or any Holder, (a) upon the release or discharge of the Company’s Guarantee of the Subsidiary Guarantor’s obligations under its revolving credit facility (as amended, modified, restated, amended and restated or otherwise replaced or refinanced from time to time, the “</w:t>
      </w:r>
      <w:r>
        <w:rPr>
          <w:rFonts w:ascii="Times New Roman" w:cs="Times New Roman" w:eastAsia="Times New Roman" w:hAnsi="Times New Roman"/>
          <w:sz w:val="18"/>
          <w:szCs w:val="18"/>
          <w:u w:val="single" w:color="auto"/>
          <w:color w:val="auto"/>
        </w:rPr>
        <w:t>Subsidiary Credit Facility</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8"/>
        <w:spacing w:after="0" w:line="253" w:lineRule="auto"/>
        <w:tabs>
          <w:tab w:leader="none" w:pos="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release or discharge of the Subsidiary Guarantor’s obligations under the Subsidiary Credit Facility, (c) in connection with any Covenant Defeasance or Defeasance pursuant to Article XIII of the Base Indenture as to the Notes or satisfaction and discharge of the Notes pursuant to Article IV of the Base Indenture and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this Supplemental Indenture, or (d) if no Event of Default has occurred and is then continuing, upon the liquidation or dissolution of the Subsidiary Guarantor.</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the Subsidiary Guarantor is sold or disposed of (whether by merger, consolidation, the sale of a sufficient amount of its (or an intermediate holding company’s) Capital Stock so that the Subsidiary Guarantor no longer constitutes a Subsidiary of the Company or the sale of all or substantially all of its assets (other than by lease)), and whether or not the Subsidiary Guarantor is the surviving entity in such transaction, to a Person that is not (and does not thereupon become) the Company or a Subsidiary of the Company, the Subsidiary Guarantor will be released and discharged automatically and unconditionally from all its obligations under the Subsidiary Guarantee and will cease to be the Subsidiary Guarantor, without any further action required on the part of the Trustee or any Holder.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delivery by the Company to the Trustee of an Officer’s Certificate and an Opinion of Counsel to the effect that any of the conditions described above has occurred, the Trustee shall execute any supplemental indenture or other documents reasonably requested by the Company in order to evidence the release of the Subsidiary Guarantor from its obligations under the Subsidiary Guarantee and the Indenture as to the Notes.</w:t>
      </w:r>
    </w:p>
    <w:p>
      <w:pPr>
        <w:spacing w:after="0" w:line="176"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010000"/>
        </w:rPr>
        <w:t>SECTION 9.2.</w:t>
      </w:r>
      <w:r>
        <w:rPr>
          <w:sz w:val="20"/>
          <w:szCs w:val="20"/>
          <w:color w:val="auto"/>
        </w:rPr>
        <w:tab/>
      </w:r>
      <w:r>
        <w:rPr>
          <w:rFonts w:ascii="Times New Roman" w:cs="Times New Roman" w:eastAsia="Times New Roman" w:hAnsi="Times New Roman"/>
          <w:sz w:val="18"/>
          <w:szCs w:val="18"/>
          <w:u w:val="single" w:color="auto"/>
          <w:color w:val="auto"/>
        </w:rPr>
        <w:t>Guarantee Evidenced by Indenture; No Notation of 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2359" w:val="left"/>
        </w:tabs>
        <w:numPr>
          <w:ilvl w:val="0"/>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Subsidiary Guarantee of the Subsidiary Guarantor shall be evidenced solely by its execution and delivery of this Supplemental Indenture and not by an endorsement on, or attachment to, any Note or any Guarantee or notation thereof.</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2315" w:val="left"/>
        </w:tabs>
        <w:numPr>
          <w:ilvl w:val="0"/>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delivery of any Note by the Trustee, after the authentication thereof hereunder, shall constitute due delivery of the Subsidiary Guarantee as to the Notes set forth in this Supplemental Indenture on behalf of the Subsidiary Guarantor as to the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10.1.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Supplemental Indenture, the Indenture, the Notes and any Guarantees shall be governed by,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construed in accordance with, the laws of the State of New York.</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OF THE COMPANY, THE SUBSIDIARY GUARANTOR AND THE TRUSTEE HEREBY IRREVOCABLY WAIVES, TO THE FULLEST EXTENT PERMITTED BY APPLICABLE LAW, ANY AND ALL RIGHT TO TRIAL BY JURY IN ANY LEGAL PROCEEDING ARISING OUT OF OR RELATING TO THIS SUPPLEMENTAL INDENTURE, THE INDENTURE (AS IT RELATES TO THE NOTES), THE NOTES OR THE TRANSACTION CONTEMPLATED HEREBY.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10.2. </w:t>
      </w:r>
      <w:r>
        <w:rPr>
          <w:rFonts w:ascii="Times New Roman" w:cs="Times New Roman" w:eastAsia="Times New Roman" w:hAnsi="Times New Roman"/>
          <w:sz w:val="18"/>
          <w:szCs w:val="18"/>
          <w:u w:val="single" w:color="auto"/>
          <w:color w:val="000000"/>
        </w:rPr>
        <w:t>Successors</w:t>
      </w:r>
      <w:r>
        <w:rPr>
          <w:rFonts w:ascii="Times New Roman" w:cs="Times New Roman" w:eastAsia="Times New Roman" w:hAnsi="Times New Roman"/>
          <w:sz w:val="18"/>
          <w:szCs w:val="18"/>
          <w:color w:val="000000"/>
        </w:rPr>
        <w:t>. All agreements of the Company and the Subsidiary Guarantor in this Supplemental Indenture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Notes shall bind their respective successors. All agreements of the Trustee in this Supplemental Indenture shall bind its successors.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SECTION 10.3. </w:t>
      </w:r>
      <w:r>
        <w:rPr>
          <w:rFonts w:ascii="Times New Roman" w:cs="Times New Roman" w:eastAsia="Times New Roman" w:hAnsi="Times New Roman"/>
          <w:sz w:val="18"/>
          <w:szCs w:val="18"/>
          <w:u w:val="single" w:color="auto"/>
          <w:color w:val="000000"/>
        </w:rPr>
        <w:t>Multiple Originals</w:t>
      </w:r>
      <w:r>
        <w:rPr>
          <w:rFonts w:ascii="Times New Roman" w:cs="Times New Roman" w:eastAsia="Times New Roman" w:hAnsi="Times New Roman"/>
          <w:sz w:val="18"/>
          <w:szCs w:val="18"/>
          <w:color w:val="000000"/>
        </w:rPr>
        <w:t>. The parties may sign any number of copies of this Supplemental Indenture. Each signed copy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shall be an original, but all of them together represent the same agreement. One signed copy is enough to prove this Supplemental Indenture. The exchange of copies of this Supplemental Indenture and of signature pages by facsimile or PDF transmission shall constitute effective execution and delivery of this Supplemental Indenture as to the parties hereto and may be used in lieu of the original instrument for all purposes. Signature pages of the parties hereto transmitted by facsimile or PDF shall be deemed to be their original signatures for all purposes. This </w:t>
      </w:r>
      <w:r>
        <w:rPr>
          <w:rFonts w:ascii="Times New Roman" w:cs="Times New Roman" w:eastAsia="Times New Roman" w:hAnsi="Times New Roman"/>
          <w:sz w:val="18"/>
          <w:szCs w:val="18"/>
          <w:u w:val="single" w:color="auto"/>
          <w:color w:val="000000"/>
        </w:rPr>
        <w:t>Section 10.3</w:t>
      </w:r>
      <w:r>
        <w:rPr>
          <w:rFonts w:ascii="Times New Roman" w:cs="Times New Roman" w:eastAsia="Times New Roman" w:hAnsi="Times New Roman"/>
          <w:sz w:val="18"/>
          <w:szCs w:val="18"/>
          <w:color w:val="000000"/>
        </w:rPr>
        <w:t xml:space="preserve"> is subject to Section 119 of the Base Indenture.</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10.4. </w:t>
      </w:r>
      <w:r>
        <w:rPr>
          <w:rFonts w:ascii="Times New Roman" w:cs="Times New Roman" w:eastAsia="Times New Roman" w:hAnsi="Times New Roman"/>
          <w:sz w:val="18"/>
          <w:szCs w:val="18"/>
          <w:u w:val="single" w:color="auto"/>
          <w:color w:val="000000"/>
        </w:rPr>
        <w:t>Paying Agent and Security Registrar</w:t>
      </w:r>
      <w:r>
        <w:rPr>
          <w:rFonts w:ascii="Times New Roman" w:cs="Times New Roman" w:eastAsia="Times New Roman" w:hAnsi="Times New Roman"/>
          <w:sz w:val="18"/>
          <w:szCs w:val="18"/>
          <w:color w:val="000000"/>
        </w:rPr>
        <w:t>. The Company initially appoints the Trustee as Paying Agent and Security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Registrar with respect to any Global Notes.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10.5.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In case any provision in this Supplemental Indenture, the Indenture, the Notes or the Subsidiary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Guarantee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10.6. </w:t>
      </w:r>
      <w:r>
        <w:rPr>
          <w:rFonts w:ascii="Times New Roman" w:cs="Times New Roman" w:eastAsia="Times New Roman" w:hAnsi="Times New Roman"/>
          <w:sz w:val="18"/>
          <w:szCs w:val="18"/>
          <w:u w:val="single" w:color="auto"/>
          <w:color w:val="000000"/>
        </w:rPr>
        <w:t>Trust Indenture Act Controls</w:t>
      </w:r>
      <w:r>
        <w:rPr>
          <w:rFonts w:ascii="Times New Roman" w:cs="Times New Roman" w:eastAsia="Times New Roman" w:hAnsi="Times New Roman"/>
          <w:sz w:val="18"/>
          <w:szCs w:val="18"/>
          <w:color w:val="000000"/>
        </w:rPr>
        <w:t>. If any provision of the Indenture limits, qualifies, or conflicts with another provision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is required or deemed to be included in the Indenture by the Trust Indenture Act, such required or deemed provision shall control. If any provision of the Indenture modifies or excludes any provision of the Trust Indenture Act that may be so modified or excluded, the provision of the Trust Indenture Act shall be deemed to apply to the Indenture as so modified or shall be excluded, as the case may be.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10.7. </w:t>
      </w:r>
      <w:r>
        <w:rPr>
          <w:rFonts w:ascii="Times New Roman" w:cs="Times New Roman" w:eastAsia="Times New Roman" w:hAnsi="Times New Roman"/>
          <w:sz w:val="18"/>
          <w:szCs w:val="18"/>
          <w:u w:val="single" w:color="auto"/>
          <w:color w:val="000000"/>
        </w:rPr>
        <w:t>Table of Contents; Headings</w:t>
      </w:r>
      <w:r>
        <w:rPr>
          <w:rFonts w:ascii="Times New Roman" w:cs="Times New Roman" w:eastAsia="Times New Roman" w:hAnsi="Times New Roman"/>
          <w:sz w:val="18"/>
          <w:szCs w:val="18"/>
          <w:color w:val="000000"/>
        </w:rPr>
        <w:t>. The table of contents, cross-reference sheet and headings of the Articles and Sections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this Supplemental Indenture have been inserted for convenience of reference only, are not intended to be considered a part hereof and shall not modify or restrict any of the terms or provisions 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SECTION 10.8. </w:t>
      </w:r>
      <w:r>
        <w:rPr>
          <w:rFonts w:ascii="Times New Roman" w:cs="Times New Roman" w:eastAsia="Times New Roman" w:hAnsi="Times New Roman"/>
          <w:sz w:val="18"/>
          <w:szCs w:val="18"/>
          <w:u w:val="single" w:color="auto"/>
          <w:color w:val="000000"/>
        </w:rPr>
        <w:t>No Adverse Interpretation of Other Agreements</w:t>
      </w:r>
      <w:r>
        <w:rPr>
          <w:rFonts w:ascii="Times New Roman" w:cs="Times New Roman" w:eastAsia="Times New Roman" w:hAnsi="Times New Roman"/>
          <w:sz w:val="18"/>
          <w:szCs w:val="18"/>
          <w:color w:val="000000"/>
        </w:rPr>
        <w:t>. The Indenture insofar as relating to the Notes may not be used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interpret any other indenture, loan or debt agreement (including the Indenture (including any other supplemental indenture thereto) insofar as relating to any series of Securities other than the Notes) of the Company or any Subsidiaries or of any other Person. Any such indenture, loan or debt agreement (including the Indenture (including any other supplemental indenture thereto) insofar as relating to any series of Securities other than the Notes) may not be used to interpret the Indenture insofar as relating to the Notes.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10.9. </w:t>
      </w:r>
      <w:r>
        <w:rPr>
          <w:rFonts w:ascii="Times New Roman" w:cs="Times New Roman" w:eastAsia="Times New Roman" w:hAnsi="Times New Roman"/>
          <w:sz w:val="18"/>
          <w:szCs w:val="18"/>
          <w:u w:val="single" w:color="auto"/>
          <w:color w:val="000000"/>
        </w:rPr>
        <w:t>Ratification and Incorporation of Base Indenture</w:t>
      </w:r>
      <w:r>
        <w:rPr>
          <w:rFonts w:ascii="Times New Roman" w:cs="Times New Roman" w:eastAsia="Times New Roman" w:hAnsi="Times New Roman"/>
          <w:sz w:val="18"/>
          <w:szCs w:val="18"/>
          <w:color w:val="000000"/>
        </w:rPr>
        <w:t>. As supplemented hereby, the Base Indenture is in all respects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ratified and confirmed, and the Base Indenture and this Supplemental Indenture shall be read, taken and construed as one and the same instrument. This Supplemental Indenture shall form a part of the Indenture for all purposes (as it relates to the Notes), and every Holder of Notes shall be bound hereby.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10.10. </w:t>
      </w:r>
      <w:r>
        <w:rPr>
          <w:rFonts w:ascii="Times New Roman" w:cs="Times New Roman" w:eastAsia="Times New Roman" w:hAnsi="Times New Roman"/>
          <w:sz w:val="18"/>
          <w:szCs w:val="18"/>
          <w:u w:val="single" w:color="auto"/>
          <w:color w:val="000000"/>
        </w:rPr>
        <w:t>Benefits of Supplemental Indenture</w:t>
      </w:r>
      <w:r>
        <w:rPr>
          <w:rFonts w:ascii="Times New Roman" w:cs="Times New Roman" w:eastAsia="Times New Roman" w:hAnsi="Times New Roman"/>
          <w:sz w:val="18"/>
          <w:szCs w:val="18"/>
          <w:color w:val="000000"/>
        </w:rPr>
        <w:t>. Nothing in this Supplemental Indenture or the Base Indenture (as it relates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Notes) or in the Notes, express or implied, shall give to any Person, other than the parties to this Supplemental Indenture and their successors hereunder and the Holders of the Notes, any benefit or any legal or equitable right, remedy or claim under this Supplemental Indenture as it relates to the Notes or the Indenture.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130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all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DIAMONDBACK ENERGY, INC., as the Company</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Teresa L. Dick</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Accounting Officer and Assistant</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DIAMONDBACK E&amp;P LLC, as Subsidiary Guarantor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Teresa L. Dick</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Accounting Officer and Assistant</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the 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4520"/>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ind w:left="4520"/>
        <w:spacing w:after="0" w:line="282" w:lineRule="auto"/>
        <w:rPr>
          <w:sz w:val="20"/>
          <w:szCs w:val="20"/>
          <w:color w:val="auto"/>
        </w:rPr>
      </w:pPr>
      <w:r>
        <w:rPr>
          <w:rFonts w:ascii="Times New Roman" w:cs="Times New Roman" w:eastAsia="Times New Roman" w:hAnsi="Times New Roman"/>
          <w:sz w:val="18"/>
          <w:szCs w:val="18"/>
          <w:color w:val="auto"/>
        </w:rPr>
        <w:t>COMPUTERSHARE TRUST COMPANY, NATIONAL ASSOCIATION, as Trustee</w:t>
      </w:r>
    </w:p>
    <w:p>
      <w:pPr>
        <w:spacing w:after="0" w:line="16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Niki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Niki Austin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i w:val="1"/>
          <w:iCs w:val="1"/>
          <w:color w:val="auto"/>
        </w:rPr>
        <w:t>[Signature Page to the 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309880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80"/>
          </w:cols>
          <w:pgMar w:left="1440" w:top="904" w:right="57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FACE OF NOTE</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SECURITY IS A GLOBAL NOTE WITHIN THE MEANING OF THE INDENTURE HEREINAFTER REFERRED TO AND IS REGISTERED IN THE NAME OF A DEPOSITARY OR A NOMINEE OF A DEPOSITARY OR A SUCCESSOR DEPOSITARY. UNLESS AND UNTIL IT IS EXCHANGED IN WHOLE OR IN PART FOR SECURITIES IN CERTIFICATED FORM, THIS SECURITY MAY NOT BE TRANSFERRED EXCEPT AS A WHOLE BY THE DEPOSITORY TRUST COMPANY, A NEW YORK CORPORATION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UNLESS THIS SECURITY IS PRESENTED BY AN AUTHORIZED REPRESENTATIVE OF THE DEPOSITARY TO THE ISSUER OR ITS AGENT FOR REGISTRATION OF TRANSFER, EXCHANGE, OR PAYMENT, AND ANY SECURITY ISSUED IS REGISTERED IN THE NAME OF CEDE &amp; CO. OR IN SUCH OTHER NAME AS IS REQUESTED BY AN AUTHORIZED REPRESENTATIVE OF THE DEPOSITARY (AND ANY PAYMENT IS MADE TO CEDE &amp; CO. OR TO SUCH OTHER ENTITY AS IS REQUESTED BY AN AUTHORIZED REPRESENTATIVE OF THE DEPOSITARY), ANY TRANSFER, PLEDGE OR OTHER USE HEREOF FOR VALUE OR OTHERWISE BY OR TO ANY PERSON IS WRONGFUL INASMUCH AS THE REGISTERED OWNER HEREOF, CEDE &amp; CO., HAS AN INTEREST HEREIN.]</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7830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4" w:lineRule="exact"/>
        <w:rPr>
          <w:sz w:val="20"/>
          <w:szCs w:val="20"/>
          <w:color w:val="auto"/>
        </w:rPr>
      </w:pPr>
    </w:p>
    <w:p>
      <w:pPr>
        <w:ind w:left="360" w:hanging="352"/>
        <w:spacing w:after="0"/>
        <w:tabs>
          <w:tab w:leader="none" w:pos="360" w:val="left"/>
        </w:tabs>
        <w:numPr>
          <w:ilvl w:val="0"/>
          <w:numId w:val="7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Depositary legend, if applicable.</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10460" w:type="dxa"/>
            <w:vAlign w:val="bottom"/>
          </w:tcPr>
          <w:p>
            <w:pPr>
              <w:ind w:left="7780"/>
              <w:spacing w:after="0"/>
              <w:rPr>
                <w:sz w:val="20"/>
                <w:szCs w:val="20"/>
                <w:color w:val="auto"/>
              </w:rPr>
            </w:pPr>
            <w:r>
              <w:rPr>
                <w:rFonts w:ascii="Times New Roman" w:cs="Times New Roman" w:eastAsia="Times New Roman" w:hAnsi="Times New Roman"/>
                <w:sz w:val="18"/>
                <w:szCs w:val="18"/>
                <w:color w:val="auto"/>
              </w:rPr>
              <w:t>Principal Amount $</w:t>
            </w:r>
          </w:p>
        </w:tc>
      </w:tr>
      <w:tr>
        <w:trPr>
          <w:trHeight w:val="220"/>
        </w:trPr>
        <w:tc>
          <w:tcPr>
            <w:tcW w:w="780" w:type="dxa"/>
            <w:vAlign w:val="bottom"/>
          </w:tcPr>
          <w:p>
            <w:pPr>
              <w:spacing w:after="0"/>
              <w:rPr>
                <w:sz w:val="19"/>
                <w:szCs w:val="19"/>
                <w:color w:val="auto"/>
              </w:rPr>
            </w:pPr>
          </w:p>
        </w:tc>
        <w:tc>
          <w:tcPr>
            <w:tcW w:w="10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 revised by the Schedule of Increases</w:t>
            </w:r>
          </w:p>
        </w:tc>
      </w:tr>
      <w:tr>
        <w:trPr>
          <w:trHeight w:val="394"/>
        </w:trPr>
        <w:tc>
          <w:tcPr>
            <w:tcW w:w="780" w:type="dxa"/>
            <w:vAlign w:val="bottom"/>
          </w:tcPr>
          <w:p>
            <w:pPr>
              <w:spacing w:after="0"/>
              <w:rPr>
                <w:sz w:val="24"/>
                <w:szCs w:val="24"/>
                <w:color w:val="auto"/>
              </w:rPr>
            </w:pPr>
          </w:p>
        </w:tc>
        <w:tc>
          <w:tcPr>
            <w:tcW w:w="10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 Decreases in the Global Note attached hereto]</w:t>
            </w:r>
            <w:r>
              <w:rPr>
                <w:rFonts w:ascii="Times New Roman" w:cs="Times New Roman" w:eastAsia="Times New Roman" w:hAnsi="Times New Roman"/>
                <w:sz w:val="29"/>
                <w:szCs w:val="29"/>
                <w:color w:val="auto"/>
                <w:vertAlign w:val="superscript"/>
              </w:rPr>
              <w:t>1</w:t>
            </w:r>
          </w:p>
        </w:tc>
      </w:tr>
      <w:tr>
        <w:trPr>
          <w:trHeight w:val="291"/>
        </w:trPr>
        <w:tc>
          <w:tcPr>
            <w:tcW w:w="780" w:type="dxa"/>
            <w:vAlign w:val="bottom"/>
          </w:tcPr>
          <w:p>
            <w:pPr>
              <w:spacing w:after="0"/>
              <w:rPr>
                <w:sz w:val="24"/>
                <w:szCs w:val="24"/>
                <w:color w:val="auto"/>
              </w:rPr>
            </w:pPr>
          </w:p>
        </w:tc>
        <w:tc>
          <w:tcPr>
            <w:tcW w:w="10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NO. 25278X AW9</w:t>
            </w:r>
          </w:p>
        </w:tc>
      </w:tr>
      <w:tr>
        <w:trPr>
          <w:trHeight w:val="234"/>
        </w:trPr>
        <w:tc>
          <w:tcPr>
            <w:tcW w:w="780" w:type="dxa"/>
            <w:vAlign w:val="bottom"/>
          </w:tcPr>
          <w:p>
            <w:pPr>
              <w:spacing w:after="0"/>
              <w:rPr>
                <w:sz w:val="20"/>
                <w:szCs w:val="20"/>
                <w:color w:val="auto"/>
              </w:rPr>
            </w:pPr>
          </w:p>
        </w:tc>
        <w:tc>
          <w:tcPr>
            <w:tcW w:w="10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ISIN US25278XAW92</w:t>
            </w:r>
          </w:p>
        </w:tc>
      </w:tr>
      <w:tr>
        <w:trPr>
          <w:trHeight w:val="432"/>
        </w:trPr>
        <w:tc>
          <w:tcPr>
            <w:tcW w:w="780" w:type="dxa"/>
            <w:vAlign w:val="bottom"/>
          </w:tcPr>
          <w:p>
            <w:pPr>
              <w:spacing w:after="0"/>
              <w:rPr>
                <w:sz w:val="24"/>
                <w:szCs w:val="24"/>
                <w:color w:val="auto"/>
              </w:rPr>
            </w:pPr>
          </w:p>
        </w:tc>
        <w:tc>
          <w:tcPr>
            <w:tcW w:w="104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8"/>
              </w:rPr>
              <w:t>DIAMONDBACK ENERGY, INC.</w:t>
            </w:r>
          </w:p>
        </w:tc>
      </w:tr>
      <w:tr>
        <w:trPr>
          <w:trHeight w:val="432"/>
        </w:trPr>
        <w:tc>
          <w:tcPr>
            <w:tcW w:w="780" w:type="dxa"/>
            <w:vAlign w:val="bottom"/>
          </w:tcPr>
          <w:p>
            <w:pPr>
              <w:spacing w:after="0"/>
              <w:rPr>
                <w:sz w:val="24"/>
                <w:szCs w:val="24"/>
                <w:color w:val="auto"/>
              </w:rPr>
            </w:pPr>
          </w:p>
        </w:tc>
        <w:tc>
          <w:tcPr>
            <w:tcW w:w="104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6.250% SENIOR NOTE DUE 2053</w:t>
            </w:r>
          </w:p>
        </w:tc>
      </w:tr>
      <w:tr>
        <w:trPr>
          <w:trHeight w:val="458"/>
        </w:trPr>
        <w:tc>
          <w:tcPr>
            <w:tcW w:w="780" w:type="dxa"/>
            <w:vAlign w:val="bottom"/>
          </w:tcPr>
          <w:p>
            <w:pPr>
              <w:spacing w:after="0"/>
              <w:rPr>
                <w:sz w:val="24"/>
                <w:szCs w:val="24"/>
                <w:color w:val="auto"/>
              </w:rPr>
            </w:pPr>
          </w:p>
        </w:tc>
        <w:tc>
          <w:tcPr>
            <w:tcW w:w="10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Diamondback Energy, Inc., a Delaware corporation, promises to pay to [Cede &amp; Co.]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or registered assigns, the principal sum of</w:t>
            </w:r>
          </w:p>
        </w:tc>
      </w:tr>
      <w:tr>
        <w:trPr>
          <w:trHeight w:val="39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Dollars, [as revised by the Schedule of Increases and Decreases in the Global Note attached hereto]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on March 15, 2053.</w:t>
            </w:r>
          </w:p>
        </w:tc>
      </w:tr>
      <w:tr>
        <w:trPr>
          <w:trHeight w:val="309"/>
        </w:trPr>
        <w:tc>
          <w:tcPr>
            <w:tcW w:w="780" w:type="dxa"/>
            <w:vAlign w:val="bottom"/>
          </w:tcPr>
          <w:p>
            <w:pPr>
              <w:spacing w:after="0"/>
              <w:rPr>
                <w:sz w:val="24"/>
                <w:szCs w:val="24"/>
                <w:color w:val="auto"/>
              </w:rPr>
            </w:pPr>
          </w:p>
        </w:tc>
        <w:tc>
          <w:tcPr>
            <w:tcW w:w="10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Interest Payment Dates: March 15 and September 15, commencing March 15, 2023.</w:t>
            </w:r>
          </w:p>
        </w:tc>
      </w:tr>
      <w:tr>
        <w:trPr>
          <w:trHeight w:val="432"/>
        </w:trPr>
        <w:tc>
          <w:tcPr>
            <w:tcW w:w="780" w:type="dxa"/>
            <w:vAlign w:val="bottom"/>
          </w:tcPr>
          <w:p>
            <w:pPr>
              <w:spacing w:after="0"/>
              <w:rPr>
                <w:sz w:val="24"/>
                <w:szCs w:val="24"/>
                <w:color w:val="auto"/>
              </w:rPr>
            </w:pPr>
          </w:p>
        </w:tc>
        <w:tc>
          <w:tcPr>
            <w:tcW w:w="10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Regular Record Dates: March 1 and September 1.</w:t>
            </w:r>
          </w:p>
        </w:tc>
      </w:tr>
      <w:tr>
        <w:trPr>
          <w:trHeight w:val="432"/>
        </w:trPr>
        <w:tc>
          <w:tcPr>
            <w:tcW w:w="780" w:type="dxa"/>
            <w:vAlign w:val="bottom"/>
          </w:tcPr>
          <w:p>
            <w:pPr>
              <w:spacing w:after="0"/>
              <w:rPr>
                <w:sz w:val="24"/>
                <w:szCs w:val="24"/>
                <w:color w:val="auto"/>
              </w:rPr>
            </w:pPr>
          </w:p>
        </w:tc>
        <w:tc>
          <w:tcPr>
            <w:tcW w:w="10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3" w:lineRule="exact"/>
        <w:rPr>
          <w:sz w:val="20"/>
          <w:szCs w:val="20"/>
          <w:color w:val="auto"/>
        </w:rPr>
      </w:pPr>
    </w:p>
    <w:p>
      <w:pPr>
        <w:ind w:left="780" w:hanging="124"/>
        <w:spacing w:after="0"/>
        <w:tabs>
          <w:tab w:leader="none" w:pos="780" w:val="left"/>
        </w:tabs>
        <w:numPr>
          <w:ilvl w:val="0"/>
          <w:numId w:val="7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Global Notes.</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color w:val="auto"/>
        </w:rPr>
        <w:t>IN WITNESS WHEREOF, the Company has caused this Note to be signed manually or by facsimile by its duly authorized officer.</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referred to in the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6"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REVERSE SIDE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6.250% Senior Note due 2053</w:t>
      </w:r>
    </w:p>
    <w:p>
      <w:pPr>
        <w:spacing w:after="0" w:line="225" w:lineRule="exact"/>
        <w:rPr>
          <w:sz w:val="20"/>
          <w:szCs w:val="20"/>
          <w:color w:val="auto"/>
        </w:rPr>
      </w:pPr>
    </w:p>
    <w:p>
      <w:pPr>
        <w:ind w:left="680" w:hanging="672"/>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Diamondback Energy, Inc., a Delaware corporation (such corporation, and its successors and assigns under the Indenture hereinafter referred to, being herein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interest on the principal amount of this Note at the rate per annum shown above.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Company shall pay interest semiannually on March 15 and September 15 of each year, commencing March 15, 2023. Interest on the Notes shall accrue from the most recent date to which interest has been paid on the Notes or, if no interest has been paid, from December 13, 2022. The Company shall pay interest on overdue principal or premium, if any (plus interest on overdue installments of interest to the extent lawful), at the rate borne by the Notes to the extent lawful. Interest shall be computed on the basis of a 360-day year comprised of twelve 30-day months.</w:t>
      </w:r>
    </w:p>
    <w:p>
      <w:pPr>
        <w:spacing w:after="0" w:line="180" w:lineRule="exact"/>
        <w:rPr>
          <w:sz w:val="20"/>
          <w:szCs w:val="20"/>
          <w:color w:val="auto"/>
        </w:rPr>
      </w:pPr>
    </w:p>
    <w:p>
      <w:pPr>
        <w:ind w:left="680" w:hanging="672"/>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By no later than 12:30 p.m. (New York City time) on the date on which any principal of, premium, if any, or interest on any Note is due and payable, the Company shall irrevocably deposit with the Trustee or the Paying Agent money sufficient to pay such principal, premium, if any, or interest. The Company shall pay interest (except Defaulted Interest) to the Persons who are registered Holders at the close of business on the March 1 or September 1 immediately preceding the interest payment date even if the Notes are cancelled or repurchased after the Regular Record Date and on or before the Interest Payment Date. Holders must surrender the Notes to a Paying Agent to collect principal payments. The Company shall pay principal of, premium, if any, and interest on the Notes in money of the United States that at the time of payment is legal tender for payment of public and private debts. The Company shall pay principal of, premium, if any, and interest on the Notes at the office or agency designated by the Company, which is initially the corporate trust office of the Trustee in Minneapolis, Minnesota. The Company shall pay principal of, premium, if any, and interest on the Global Notes registered in the name of or held by the Depositary or its nominee in immediately available funds to the Depositary or its nominee, as the case may be, as the registered holder of such Global Note. The Company shall make all payments in respect of a Definitive Note by mailing a check to the registered address of each Holder thereof as such address shall appear on the Security Registrar’s books;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on the Notes represented by Definitive Notes may also be made, in the case of a Holder of at least $1,000,000 aggregate principal amount of Notes represented by Definitive Notes, by wire transfer to a U.S. dollar account maintained by the payee with a bank in the United States if such Holder elects payment by wire transfer by giving written notice to the Trustee or the Paying Agent in accordance with the terms of the Indenture.</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680" w:hanging="672"/>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and Security Registrar</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Initially, Computershare Trust Company, National Association, the trustee under the Indenture (such corporation, and its successors and assigns under the Indenture hereinafter referred to, being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shall act as Paying Agent and Security Registrar. The Company may appoint and change any Paying Agent or Security Registrar without notice to any Holder. The Company or any of its Subsidiaries may act as Paying Agent or Security Registrar.</w:t>
      </w:r>
    </w:p>
    <w:p>
      <w:pPr>
        <w:spacing w:after="0" w:line="180" w:lineRule="exact"/>
        <w:rPr>
          <w:sz w:val="20"/>
          <w:szCs w:val="20"/>
          <w:color w:val="auto"/>
        </w:rPr>
      </w:pPr>
    </w:p>
    <w:p>
      <w:pPr>
        <w:ind w:left="680" w:hanging="672"/>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Company issued the Notes as a series of Securities under the Indenture dated as of December 13, 2022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Company and the Trustee, as supplemented by the First Supplemental Indenture dated as of December 13, 2022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and any one or more additional supplemental indentures thereto applicable to the Notes,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Company, Diamondback E&amp;P LLC, a Delaware limited liability company (the “</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and the Trustee. The terms of the Notes include those stated in the Indenture and those made part of the Indenture by reference to the Trust Indenture Act. Capitalized terms used herein and not defined herein have the meanings ascribed thereto in the Indenture. The Notes are subject to all such terms, and Holders are referred to the Indenture and the Trust Indenture Act for a statement of those terms. In the event of any inconsistency between the terms of this Note and the terms of the Indenture, the terms of the Indenture shall control.</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aggregate principal amount of Notes that may be authenticated and delivered under the Indenture is unlimited. This Note is one of the 6.250% Senior Notes due 2053 referred to in the Indenture. The Notes include (i) $650,000,000 aggregate principal amount of the Company’s 6.250% Senior Notes due 2053 issued under the Indenture on December 13, 2022 in an offering registered under the Securities Act (the “</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and (ii) if and when issued, an unlimited principal amount of additional 6.250% Senior Notes due 2053 that may be issued from time to time, under the Indenture, subsequent to December 13, 2022 (the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and, together with the Initial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Initial Notes and the Additional Notes shall be considered collectively as a single series of Securities for all purposes of the Indenture.</w:t>
      </w:r>
    </w:p>
    <w:p>
      <w:pPr>
        <w:spacing w:after="0" w:line="187" w:lineRule="exact"/>
        <w:rPr>
          <w:sz w:val="20"/>
          <w:szCs w:val="20"/>
          <w:color w:val="auto"/>
        </w:rPr>
      </w:pPr>
    </w:p>
    <w:p>
      <w:pPr>
        <w:ind w:left="680" w:hanging="672"/>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49" w:val="left"/>
        </w:tabs>
        <w:numPr>
          <w:ilvl w:val="1"/>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 to September 15, 2052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the Company may redeem the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40 basis points less (b) interest accrued to the Redemption Date, and (2) 100% of the principal amount of the Notes to be redeemed, plus, in either case, accrued and unpaid interest thereon to but not including the Redemption Date.</w:t>
      </w:r>
    </w:p>
    <w:p>
      <w:pPr>
        <w:spacing w:after="0" w:line="187"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086" w:val="left"/>
        </w:tabs>
        <w:numPr>
          <w:ilvl w:val="1"/>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left="680" w:hanging="672"/>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principal amount of $2,000 or an integral multiple of $1,000 in excess thereof. A Holder may transfer or exchange Notes in accordance with the Indenture. The Security Registrar and the Trustee may require a Holder, among other things, to furnish appropriate endorsements and transfer documents. No service charge will be imposed by the Company, the Trustee or the Security Registrar for any registration of transfer or exchange of the Notes, but the Company may require a Holder to pay a sum sufficient to cover any transfer tax or other governmental taxes and fees required by law or permitted by the Indenture. The Company is not required to transfer or exchange any Note selected for redemption or any Note for a period of 15 days before a selection of the Notes to be redeemed.</w:t>
      </w:r>
    </w:p>
    <w:p>
      <w:pPr>
        <w:spacing w:after="0" w:line="187" w:lineRule="exact"/>
        <w:rPr>
          <w:sz w:val="20"/>
          <w:szCs w:val="20"/>
          <w:color w:val="auto"/>
        </w:rPr>
      </w:pPr>
    </w:p>
    <w:p>
      <w:pPr>
        <w:ind w:left="680" w:hanging="672"/>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registered Holder of this Note shall be treated as the owner of it for all purposes.</w:t>
      </w:r>
    </w:p>
    <w:p>
      <w:pPr>
        <w:spacing w:after="0" w:line="225" w:lineRule="exact"/>
        <w:rPr>
          <w:sz w:val="20"/>
          <w:szCs w:val="20"/>
          <w:color w:val="auto"/>
        </w:rPr>
      </w:pPr>
    </w:p>
    <w:p>
      <w:pPr>
        <w:ind w:left="680" w:hanging="672"/>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Money</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money for the payment of the principal of, or premium, if any, or interest remains unclaimed for two years, the Trustee or Paying Agent shall pay the money back to the Company at its written request unless an abandoned property law designates another Person. After any such payment, Holders entitled to the money must look only to the Company and not to the Trustee or the Paying Agent for payment.</w:t>
      </w:r>
    </w:p>
    <w:p>
      <w:pPr>
        <w:spacing w:after="0" w:line="176" w:lineRule="exact"/>
        <w:rPr>
          <w:sz w:val="20"/>
          <w:szCs w:val="20"/>
          <w:color w:val="auto"/>
        </w:rPr>
      </w:pPr>
    </w:p>
    <w:p>
      <w:pPr>
        <w:ind w:left="680" w:hanging="672"/>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Defeasance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Subject to certain conditions set forth in the Indenture, the Company at any time may terminate some or all of its obligations under the Notes and the Indenture if the Company deposits with the Trustee money or U.S. Government Obligations for the payment of principal, premium, if any, and interest on the Notes to Stated Maturity or a specified redemption date.</w:t>
      </w:r>
    </w:p>
    <w:p>
      <w:pPr>
        <w:spacing w:after="0" w:line="176" w:lineRule="exact"/>
        <w:rPr>
          <w:sz w:val="20"/>
          <w:szCs w:val="20"/>
          <w:color w:val="auto"/>
        </w:rPr>
      </w:pPr>
    </w:p>
    <w:p>
      <w:pPr>
        <w:ind w:left="780" w:hanging="772"/>
        <w:spacing w:after="0"/>
        <w:tabs>
          <w:tab w:leader="none" w:pos="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Supplement and Waiver</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Supplemental Indenture, the Base Indenture (as it relates to the Notes) and the Notes may be amended or supplemented and certain provisions may be waived as provided in the Indenture.</w:t>
      </w:r>
    </w:p>
    <w:p>
      <w:pPr>
        <w:spacing w:after="0" w:line="162" w:lineRule="exact"/>
        <w:rPr>
          <w:sz w:val="20"/>
          <w:szCs w:val="20"/>
          <w:color w:val="auto"/>
        </w:rPr>
      </w:pPr>
    </w:p>
    <w:p>
      <w:pPr>
        <w:ind w:left="760" w:hanging="752"/>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The Events of Default as to the Notes are defined in Section 6.1 of the Supplemental Indenture. Upon the occurrence of an Event of Default, the rights and obligations of the Company, the Subsidiary Guarantor, the Trustee and the Holders shall be as set forth in the applicable provisions of the Indenture.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780" w:hanging="772"/>
        <w:spacing w:after="0"/>
        <w:tabs>
          <w:tab w:leader="none" w:pos="7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the Company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Subject to certain limitations set forth in the Indenture, the Trustee, any Authenticating Agent, any Paying Agent, any Security Registrar or any other agent of the Company or the Subsidiary Guarantor, in its individual or any other capacity, may become the owner or pledgee of the Notes and may otherwise deal with the Company or the Subsidiary Guarantor with the same rights it would have if it were not Trustee, Authenticating Agent, Paying Agent, Security Registrar or such other agent.</w:t>
      </w:r>
    </w:p>
    <w:p>
      <w:pPr>
        <w:spacing w:after="0" w:line="180" w:lineRule="exact"/>
        <w:rPr>
          <w:sz w:val="20"/>
          <w:szCs w:val="20"/>
          <w:color w:val="auto"/>
        </w:rPr>
      </w:pPr>
    </w:p>
    <w:p>
      <w:pPr>
        <w:ind w:left="780" w:hanging="772"/>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 past, present or future director, officer, employee, manager, member, partner, incorporator or stockholder of the Company or the Subsidiary Guarantor, as such, will have any liability for any obligations of the Company or the Subsidiary Guarantor, respectively, under the Notes or the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180" w:lineRule="exact"/>
        <w:rPr>
          <w:sz w:val="20"/>
          <w:szCs w:val="20"/>
          <w:color w:val="auto"/>
        </w:rPr>
      </w:pPr>
    </w:p>
    <w:p>
      <w:pPr>
        <w:ind w:left="780" w:hanging="772"/>
        <w:spacing w:after="0"/>
        <w:tabs>
          <w:tab w:leader="none" w:pos="7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an authorized signatory of the Trustee (or an Authenticating Agent acting on its behalf) manually signs the certificate of authentication on the other side of this Note.</w:t>
      </w:r>
    </w:p>
    <w:p>
      <w:pPr>
        <w:spacing w:after="0" w:line="162" w:lineRule="exact"/>
        <w:rPr>
          <w:sz w:val="20"/>
          <w:szCs w:val="20"/>
          <w:color w:val="auto"/>
        </w:rPr>
      </w:pPr>
    </w:p>
    <w:p>
      <w:pPr>
        <w:ind w:left="780" w:hanging="772"/>
        <w:spacing w:after="0"/>
        <w:tabs>
          <w:tab w:leader="none" w:pos="7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or an assignee, such as TEN COM (=tenants in common), TEN ENT (=tenants by the entirety), JT TEN (=joint tenants with rights of survivorship and not as tenants in common), CUST (=custodian) and U/G/M/A (=Uniform Gift to Minors Act).</w:t>
      </w:r>
    </w:p>
    <w:p>
      <w:pPr>
        <w:spacing w:after="0" w:line="176" w:lineRule="exact"/>
        <w:rPr>
          <w:sz w:val="20"/>
          <w:szCs w:val="20"/>
          <w:color w:val="auto"/>
        </w:rPr>
      </w:pPr>
    </w:p>
    <w:p>
      <w:pPr>
        <w:ind w:left="780" w:hanging="772"/>
        <w:spacing w:after="0"/>
        <w:tabs>
          <w:tab w:leader="none" w:pos="7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Company has caused CUSIP numbers to be printed on the Notes. No representation is made as to the accuracy of such numbers as printed on the Notes and reliance may be placed only on the other identification numbers placed thereon.</w:t>
      </w:r>
    </w:p>
    <w:p>
      <w:pPr>
        <w:spacing w:after="0" w:line="176" w:lineRule="exact"/>
        <w:rPr>
          <w:sz w:val="20"/>
          <w:szCs w:val="20"/>
          <w:color w:val="auto"/>
        </w:rPr>
      </w:pPr>
    </w:p>
    <w:p>
      <w:pPr>
        <w:ind w:left="780" w:hanging="772"/>
        <w:spacing w:after="0"/>
        <w:tabs>
          <w:tab w:leader="none" w:pos="7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 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_______________________</w:t>
            </w:r>
          </w:p>
        </w:tc>
        <w:tc>
          <w:tcPr>
            <w:tcW w:w="6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Your Signature: _______________________</w:t>
            </w:r>
          </w:p>
        </w:tc>
      </w:tr>
      <w:tr>
        <w:trPr>
          <w:trHeight w:val="41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 _________________</w:t>
            </w:r>
          </w:p>
        </w:tc>
        <w:tc>
          <w:tcPr>
            <w:tcW w:w="104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228"/>
        </w:trPr>
        <w:tc>
          <w:tcPr>
            <w:tcW w:w="5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(Signature must be guaranteed)</w:t>
            </w:r>
          </w:p>
        </w:tc>
      </w:tr>
      <w:tr>
        <w:trPr>
          <w:trHeight w:val="41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tc>
        <w:tc>
          <w:tcPr>
            <w:tcW w:w="1040" w:type="dxa"/>
            <w:vAlign w:val="bottom"/>
          </w:tcPr>
          <w:p>
            <w:pPr>
              <w:spacing w:after="0"/>
              <w:rPr>
                <w:sz w:val="24"/>
                <w:szCs w:val="24"/>
                <w:color w:val="auto"/>
              </w:rPr>
            </w:pPr>
          </w:p>
        </w:tc>
        <w:tc>
          <w:tcPr>
            <w:tcW w:w="50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[TO BE ATTACHED TO GLOBAL NOTES]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INCREASES AND DECREASES IN GLOBAL NOTE</w:t>
      </w:r>
      <w:r>
        <w:rPr>
          <w:rFonts w:ascii="Times New Roman" w:cs="Times New Roman" w:eastAsia="Times New Roman" w:hAnsi="Times New Roman"/>
          <w:sz w:val="29"/>
          <w:szCs w:val="29"/>
          <w:color w:val="auto"/>
          <w:vertAlign w:val="superscript"/>
        </w:rPr>
        <w:t>(4)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increases or decreases in this Global Note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 of</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decrease in</w:t>
            </w:r>
          </w:p>
        </w:tc>
        <w:tc>
          <w:tcPr>
            <w:tcW w:w="2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this Global</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r>
      <w:tr>
        <w:trPr>
          <w:trHeight w:val="216"/>
        </w:trPr>
        <w:tc>
          <w:tcPr>
            <w:tcW w:w="2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 following</w:t>
            </w: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signatory of</w:t>
            </w:r>
          </w:p>
        </w:tc>
      </w:tr>
      <w:tr>
        <w:trPr>
          <w:trHeight w:val="216"/>
        </w:trPr>
        <w:tc>
          <w:tcPr>
            <w:tcW w:w="2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Increase /</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2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of this Global</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such decrease or</w:t>
            </w: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Trustee or Notes</w:t>
            </w:r>
          </w:p>
        </w:tc>
      </w:tr>
      <w:tr>
        <w:trPr>
          <w:trHeight w:val="238"/>
        </w:trPr>
        <w:tc>
          <w:tcPr>
            <w:tcW w:w="22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Global Note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7830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Global Notes.</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150495</wp:posOffset>
            </wp:positionV>
            <wp:extent cx="1654175" cy="4883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5417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Texas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Midland, Texas 79701</w:t>
      </w:r>
    </w:p>
    <w:p>
      <w:pPr>
        <w:sectPr>
          <w:pgSz w:w="11900" w:h="16838" w:orient="portrait"/>
          <w:cols w:equalWidth="0" w:num="1">
            <w:col w:w="11240"/>
          </w:cols>
          <w:pgMar w:left="320" w:top="351" w:right="339" w:bottom="1440" w:gutter="0" w:footer="0" w:header="0"/>
        </w:sect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Diamondback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Registration Statement on Form S-3 File No. 333-268495</w:t>
      </w:r>
    </w:p>
    <w:p>
      <w:pPr>
        <w:spacing w:after="0" w:line="200" w:lineRule="exact"/>
        <w:rPr>
          <w:sz w:val="20"/>
          <w:szCs w:val="20"/>
          <w:color w:val="auto"/>
        </w:rPr>
      </w:pPr>
    </w:p>
    <w:p>
      <w:pPr>
        <w:sectPr>
          <w:pgSz w:w="11900" w:h="16838" w:orient="portrait"/>
          <w:cols w:equalWidth="0" w:num="2">
            <w:col w:w="920" w:space="380"/>
            <w:col w:w="9940"/>
          </w:cols>
          <w:pgMar w:left="320" w:top="35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acted as counsel to Diamondback Energy,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pursuant to a Registration Statement on Form S-3/ASR (File No. 333-268495), originally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on November 21, 2022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of the offering and sale (i) by the Company of $650,000,000 aggregate principal amount of its 6.250% Senior Notes due 2053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of the Company and (ii) by Diamondback E&amp;P LLC, a Delaware limited liability company (the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of the related guarantee (the “</w:t>
      </w: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color w:val="auto"/>
        </w:rPr>
        <w:t>”) by the Guarantor of the Notes, all to be issued under the First Supplemental Indenture (the “</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dated as of the date hereof, among the Company, the Guarantor and Computershare Trust Company, National Association, as trustee (in such capacity,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which supplements that certain Indenture, dated as of the date hereof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and, as supplemented by the Supplemental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by and between the Company and the Trustee, and sold pursuant to the terms of an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and, together with the Base Indenture and the Supplemental Indenture, the “</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dated November 29, 2022, among the Company, the Guarantor and TD Securities (USA) LLC, Citigroup Global Markets Inc., and Truist Securities, Inc., as representatives of the several underwriters named therein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This letter is being furnished at the request of the Company and in accordance with the requirements of Item 601(b)(5) of Regulation S-K under the Act.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examined originals or certified copies of the Transaction Documents and such corporate or limited liability company records of the Company and the Guarantor and other certificates and documents of officials of the Company and the Guarantor and public officials and others as we have deemed appropriate for purposes of this letter. We have assumed the genuineness of all signatures, the legal capacity of all natural persons, the authenticity of all documents submitted to us as originals, the conformity to authentic original documents of all copies submitted to us as conformed, certified or reproduced copies, and that the Notes will conform to the specimen thereof we have reviewed. We have also assumed (i) the existence and entity power of each party to any document referred to herein other than the Company and the Guarantor; and (ii) that the Indenture is a valid and binding obligation of the Trustee, enforceable against the Trustee in accordance with its terms. As to various questions of fact relevant to this letter, we have relied, without independent investigation, upon the recitals, certifications, statements, representations and warranties and agreements set forth in (i) the Transaction Documents and (ii) certificates of public officials and certificates of officers of the Company and the Guarantor, all of which items specified in clauses (i) and (ii) we assume to be true, correct and complete.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2300 N. Field Street | Suite 1800 | Dallas, Texas 75201-2481 | 214.969.2800 | fax: 214.969.4343 | akingump.com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29" w:name="page130"/>
    <w:bookmarkEnd w:id="1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assumptions, exceptions, qualifications and limitations set forth herein, we are of the opinion that when the Notes have been duly executed by the Company, duly authenticated by the Trustee in accordance with the terms of the Indenture, and delivered to and paid for by the Underwriters pursuant to the terms of the Underwriting Agreement, (i) the Notes will be valid and binding obligations of the Company and (ii) the Guarantee will be a valid and binding obligation of the Guarantor.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and other matters in this letter are qualified in their entirety and subject to the following:</w:t>
      </w:r>
    </w:p>
    <w:p>
      <w:pPr>
        <w:spacing w:after="0" w:line="225" w:lineRule="exact"/>
        <w:rPr>
          <w:sz w:val="20"/>
          <w:szCs w:val="20"/>
          <w:color w:val="auto"/>
        </w:rPr>
      </w:pPr>
    </w:p>
    <w:p>
      <w:pPr>
        <w:jc w:val="both"/>
        <w:ind w:firstLine="8"/>
        <w:spacing w:after="0" w:line="266" w:lineRule="auto"/>
        <w:tabs>
          <w:tab w:leader="none" w:pos="10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any constitutions, treaties, laws, statutes, rules or regulations or judicial or administrative decisions of any jurisdiction (collectively, “</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other than the following: (i) the Limited Liability Company Act of the State of Delaware; (ii) the General Corporation Law of the State of Delaware; and (iii) the Laws of the State of New York.</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9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matters expressed in this letter are subject to and qualified and limited by: (i) applicable bankruptcy, insolvency, fraudulent transfer and conveyance, reorganization, moratorium and similar laws affecting creditors’ rights and remedies generally; (ii) general principles of equity, including without limitation, concepts of materiality, reasonableness, good faith and fair dealing and the possible unavailability of specific performance or injunctive relief (regardless of whether considered in a proceeding in equity or at law); and (iii) securities Laws and public policy underlying such Laws with respect to rights to indemnification and contribution.</w:t>
      </w:r>
    </w:p>
    <w:p>
      <w:pPr>
        <w:spacing w:after="0" w:line="183" w:lineRule="exact"/>
        <w:rPr>
          <w:rFonts w:ascii="Times New Roman" w:cs="Times New Roman" w:eastAsia="Times New Roman" w:hAnsi="Times New Roman"/>
          <w:sz w:val="18"/>
          <w:szCs w:val="18"/>
          <w:color w:val="auto"/>
        </w:rPr>
      </w:pPr>
    </w:p>
    <w:p>
      <w:pPr>
        <w:jc w:val="both"/>
        <w:ind w:firstLine="8"/>
        <w:spacing w:after="0" w:line="261" w:lineRule="auto"/>
        <w:tabs>
          <w:tab w:leader="none" w:pos="8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is limited to the matters expressly stated herein and no opinion is to be inferred or implied beyond the opinions expressly set forth herein. We undertake no, and hereby disclaim any, obligation to make any inquiry after the date hereof or to advise you of any changes in any matter set forth herein, whether based on a change in Law, a change in any fact relating to the Company, the Guarantor or any other person or entity or any other circumstance.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letter as an exhibit to a Current Report on Form 8-K filed by the Company with the Commission on the date hereof, to the incorporation by reference of this letter into the Registration Statement and to the use of our name in the Prospectus dated November 21, 2022, and the Prospectus Supplement dated November 29, 2022, forming a part of the Registration Statement under the caption “Legal Matters.” In giving this consent, we do not thereby admit that we are within the category of persons whose consent is required under Section 7 of the Act and the rules and regulations thereunder.</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Akin Gump Strauss Hauer &amp; Feld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04"/>
    </w:lvl>
  </w:abstractNum>
  <w:abstractNum w:abstractNumId="1">
    <w:nsid w:val="579478FE"/>
    <w:multiLevelType w:val="hybridMultilevel"/>
    <w:lvl w:ilvl="0">
      <w:lvlJc w:val="left"/>
      <w:lvlText w:val="(%1)"/>
      <w:numFmt w:val="decimal"/>
      <w:start w:val="1"/>
    </w:lvl>
  </w:abstractNum>
  <w:abstractNum w:abstractNumId="2">
    <w:nsid w:val="749ABB43"/>
    <w:multiLevelType w:val="hybridMultilevel"/>
    <w:lvl w:ilvl="0">
      <w:lvlJc w:val="left"/>
      <w:lvlText w:val="(%1)"/>
      <w:numFmt w:val="decimal"/>
      <w:start w:val="2"/>
    </w:lvl>
  </w:abstractNum>
  <w:abstractNum w:abstractNumId="3">
    <w:nsid w:val="3DC240FB"/>
    <w:multiLevelType w:val="hybridMultilevel"/>
    <w:lvl w:ilvl="0">
      <w:lvlJc w:val="left"/>
      <w:lvlText w:val="(%1)"/>
      <w:numFmt w:val="decimal"/>
      <w:start w:val="7"/>
    </w:lvl>
  </w:abstractNum>
  <w:abstractNum w:abstractNumId="4">
    <w:nsid w:val="1BA026FA"/>
    <w:multiLevelType w:val="hybridMultilevel"/>
    <w:lvl w:ilvl="0">
      <w:lvlJc w:val="left"/>
      <w:lvlText w:val="(%1)"/>
      <w:numFmt w:val="decimal"/>
      <w:start w:val="1"/>
    </w:lvl>
  </w:abstractNum>
  <w:abstractNum w:abstractNumId="5">
    <w:nsid w:val="79A1DEAA"/>
    <w:multiLevelType w:val="hybridMultilevel"/>
    <w:lvl w:ilvl="0">
      <w:lvlJc w:val="left"/>
      <w:lvlText w:val="(%1)"/>
      <w:numFmt w:val="decimal"/>
      <w:start w:val="1"/>
    </w:lvl>
  </w:abstractNum>
  <w:abstractNum w:abstractNumId="6">
    <w:nsid w:val="75C6C33A"/>
    <w:multiLevelType w:val="hybridMultilevel"/>
    <w:lvl w:ilvl="0">
      <w:lvlJc w:val="left"/>
      <w:lvlText w:val="1"/>
      <w:numFmt w:val="bullet"/>
      <w:start w:val="1"/>
    </w:lvl>
  </w:abstractNum>
  <w:abstractNum w:abstractNumId="7">
    <w:nsid w:val="12E685FB"/>
    <w:multiLevelType w:val="hybridMultilevel"/>
    <w:lvl w:ilvl="0">
      <w:lvlJc w:val="left"/>
      <w:lvlText w:val="(%1)"/>
      <w:numFmt w:val="decimal"/>
      <w:start w:val="1"/>
    </w:lvl>
  </w:abstractNum>
  <w:abstractNum w:abstractNumId="8">
    <w:nsid w:val="70C6A529"/>
    <w:multiLevelType w:val="hybridMultilevel"/>
    <w:lvl w:ilvl="0">
      <w:lvlJc w:val="left"/>
      <w:lvlText w:val="(%1)"/>
      <w:numFmt w:val="decimal"/>
      <w:start w:val="8"/>
    </w:lvl>
  </w:abstractNum>
  <w:abstractNum w:abstractNumId="9">
    <w:nsid w:val="520EEDD1"/>
    <w:multiLevelType w:val="hybridMultilevel"/>
    <w:lvl w:ilvl="0">
      <w:lvlJc w:val="left"/>
      <w:lvlText w:val="(%1)"/>
      <w:numFmt w:val="decimal"/>
      <w:start w:val="16"/>
    </w:lvl>
  </w:abstractNum>
  <w:abstractNum w:abstractNumId="10">
    <w:nsid w:val="374A3FE6"/>
    <w:multiLevelType w:val="hybridMultilevel"/>
    <w:lvl w:ilvl="0">
      <w:lvlJc w:val="left"/>
      <w:lvlText w:val="(%1)"/>
      <w:numFmt w:val="decimal"/>
      <w:start w:val="24"/>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1)"/>
      <w:numFmt w:val="decimal"/>
      <w:start w:val="1"/>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1)"/>
      <w:numFmt w:val="decimal"/>
      <w:start w:val="2"/>
    </w:lvl>
  </w:abstractNum>
  <w:abstractNum w:abstractNumId="16">
    <w:nsid w:val="1CF10FD8"/>
    <w:multiLevelType w:val="hybridMultilevel"/>
    <w:lvl w:ilvl="0">
      <w:lvlJc w:val="left"/>
      <w:lvlText w:val="(%1)"/>
      <w:numFmt w:val="decimal"/>
      <w:start w:val="1"/>
    </w:lvl>
    <w:lvl w:ilvl="1">
      <w:lvlJc w:val="left"/>
      <w:lvlText w:val="(%2)"/>
      <w:numFmt w:val="upperLetter"/>
      <w:start w:val="1"/>
    </w:lvl>
  </w:abstractNum>
  <w:abstractNum w:abstractNumId="17">
    <w:nsid w:val="180115BE"/>
    <w:multiLevelType w:val="hybridMultilevel"/>
    <w:lvl w:ilvl="0">
      <w:lvlJc w:val="left"/>
      <w:lvlText w:val="(%1)"/>
      <w:numFmt w:val="upperLetter"/>
      <w:start w:val="2"/>
    </w:lvl>
    <w:lvl w:ilvl="1">
      <w:lvlJc w:val="left"/>
      <w:lvlText w:val="(%2)"/>
      <w:numFmt w:val="lowerRoman"/>
      <w:start w:val="1"/>
    </w:lvl>
  </w:abstractNum>
  <w:abstractNum w:abstractNumId="18">
    <w:nsid w:val="235BA861"/>
    <w:multiLevelType w:val="hybridMultilevel"/>
    <w:lvl w:ilvl="0">
      <w:lvlJc w:val="left"/>
      <w:lvlText w:val="(%1)"/>
      <w:numFmt w:val="decimal"/>
      <w:start w:val="2"/>
    </w:lvl>
  </w:abstractNum>
  <w:abstractNum w:abstractNumId="19">
    <w:nsid w:val="47398C89"/>
    <w:multiLevelType w:val="hybridMultilevel"/>
    <w:lvl w:ilvl="0">
      <w:lvlJc w:val="left"/>
      <w:lvlText w:val="(%1)"/>
      <w:numFmt w:val="decimal"/>
      <w:start w:val="1"/>
    </w:lvl>
  </w:abstractNum>
  <w:abstractNum w:abstractNumId="20">
    <w:nsid w:val="354FE9F9"/>
    <w:multiLevelType w:val="hybridMultilevel"/>
    <w:lvl w:ilvl="0">
      <w:lvlJc w:val="left"/>
      <w:lvlText w:val="(%1)"/>
      <w:numFmt w:val="decimal"/>
      <w:start w:val="6"/>
    </w:lvl>
  </w:abstractNum>
  <w:abstractNum w:abstractNumId="21">
    <w:nsid w:val="15B5AF5C"/>
    <w:multiLevelType w:val="hybridMultilevel"/>
    <w:lvl w:ilvl="0">
      <w:lvlJc w:val="left"/>
      <w:lvlText w:val="(%1)"/>
      <w:numFmt w:val="decimal"/>
      <w:start w:val="1"/>
    </w:lvl>
    <w:lvl w:ilvl="1">
      <w:lvlJc w:val="left"/>
      <w:lvlText w:val="(%2)"/>
      <w:numFmt w:val="upperLetter"/>
      <w:start w:val="1"/>
    </w:lvl>
  </w:abstractNum>
  <w:abstractNum w:abstractNumId="22">
    <w:nsid w:val="741226BB"/>
    <w:multiLevelType w:val="hybridMultilevel"/>
    <w:lvl w:ilvl="0">
      <w:lvlJc w:val="left"/>
      <w:lvlText w:val="(%1)"/>
      <w:numFmt w:val="decimal"/>
      <w:start w:val="1"/>
    </w:lvl>
  </w:abstractNum>
  <w:abstractNum w:abstractNumId="23">
    <w:nsid w:val="D34B6A8"/>
    <w:multiLevelType w:val="hybridMultilevel"/>
    <w:lvl w:ilvl="0">
      <w:lvlJc w:val="left"/>
      <w:lvlText w:val="(%1)"/>
      <w:numFmt w:val="decimal"/>
      <w:start w:val="1"/>
    </w:lvl>
  </w:abstractNum>
  <w:abstractNum w:abstractNumId="24">
    <w:nsid w:val="10233C99"/>
    <w:multiLevelType w:val="hybridMultilevel"/>
    <w:lvl w:ilvl="0">
      <w:lvlJc w:val="left"/>
      <w:lvlText w:val="(%1)"/>
      <w:numFmt w:val="decimal"/>
      <w:start w:val="4"/>
    </w:lvl>
  </w:abstractNum>
  <w:abstractNum w:abstractNumId="25">
    <w:nsid w:val="3F6AB60F"/>
    <w:multiLevelType w:val="hybridMultilevel"/>
    <w:lvl w:ilvl="0">
      <w:lvlJc w:val="left"/>
      <w:lvlText w:val="(%1)"/>
      <w:numFmt w:val="decimal"/>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1"/>
    </w:lvl>
    <w:lvl w:ilvl="1">
      <w:lvlJc w:val="left"/>
      <w:lvlText w:val="(%2)"/>
      <w:numFmt w:val="upperLetter"/>
      <w:start w:val="1"/>
    </w:lvl>
  </w:abstractNum>
  <w:abstractNum w:abstractNumId="28">
    <w:nsid w:val="77AE35EB"/>
    <w:multiLevelType w:val="hybridMultilevel"/>
    <w:lvl w:ilvl="0">
      <w:lvlJc w:val="left"/>
      <w:lvlText w:val="(%1)"/>
      <w:numFmt w:val="decimal"/>
      <w:start w:val="3"/>
    </w:lvl>
    <w:lvl w:ilvl="1">
      <w:lvlJc w:val="left"/>
      <w:lvlText w:val="(%2)"/>
      <w:numFmt w:val="upperLetter"/>
      <w:start w:val="1"/>
    </w:lvl>
  </w:abstractNum>
  <w:abstractNum w:abstractNumId="29">
    <w:nsid w:val="579BE4F1"/>
    <w:multiLevelType w:val="hybridMultilevel"/>
    <w:lvl w:ilvl="0">
      <w:lvlJc w:val="left"/>
      <w:lvlText w:val="(%1)"/>
      <w:numFmt w:val="decimal"/>
      <w:start w:val="1"/>
    </w:lvl>
  </w:abstractNum>
  <w:abstractNum w:abstractNumId="30">
    <w:nsid w:val="310C50B3"/>
    <w:multiLevelType w:val="hybridMultilevel"/>
    <w:lvl w:ilvl="0">
      <w:lvlJc w:val="left"/>
      <w:lvlText w:val="(%1)"/>
      <w:numFmt w:val="decimal"/>
      <w:start w:val="7"/>
    </w:lvl>
  </w:abstractNum>
  <w:abstractNum w:abstractNumId="31">
    <w:nsid w:val="5FF87E05"/>
    <w:multiLevelType w:val="hybridMultilevel"/>
    <w:lvl w:ilvl="0">
      <w:lvlJc w:val="left"/>
      <w:lvlText w:val="(%1)"/>
      <w:numFmt w:val="decimal"/>
      <w:start w:val="1"/>
    </w:lvl>
  </w:abstractNum>
  <w:abstractNum w:abstractNumId="32">
    <w:nsid w:val="2F305DEF"/>
    <w:multiLevelType w:val="hybridMultilevel"/>
    <w:lvl w:ilvl="0">
      <w:lvlJc w:val="left"/>
      <w:lvlText w:val="(%1)"/>
      <w:numFmt w:val="decimal"/>
      <w:start w:val="4"/>
    </w:lvl>
  </w:abstractNum>
  <w:abstractNum w:abstractNumId="33">
    <w:nsid w:val="25A70BF7"/>
    <w:multiLevelType w:val="hybridMultilevel"/>
    <w:lvl w:ilvl="0">
      <w:lvlJc w:val="left"/>
      <w:lvlText w:val="(%1)"/>
      <w:numFmt w:val="decimal"/>
      <w:start w:val="1"/>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1)"/>
      <w:numFmt w:val="decimal"/>
      <w:start w:val="1"/>
    </w:lvl>
  </w:abstractNum>
  <w:abstractNum w:abstractNumId="36">
    <w:nsid w:val="1F48EAA1"/>
    <w:multiLevelType w:val="hybridMultilevel"/>
    <w:lvl w:ilvl="0">
      <w:lvlJc w:val="left"/>
      <w:lvlText w:val="(%1)"/>
      <w:numFmt w:val="decimal"/>
      <w:start w:val="1"/>
    </w:lvl>
  </w:abstractNum>
  <w:abstractNum w:abstractNumId="37">
    <w:nsid w:val="1381823A"/>
    <w:multiLevelType w:val="hybridMultilevel"/>
    <w:lvl w:ilvl="0">
      <w:lvlJc w:val="left"/>
      <w:lvlText w:val="(%1)"/>
      <w:numFmt w:val="decimal"/>
      <w:start w:val="9"/>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1)"/>
      <w:numFmt w:val="decimal"/>
      <w:start w:val="1"/>
    </w:lvl>
  </w:abstractNum>
  <w:abstractNum w:abstractNumId="40">
    <w:nsid w:val="6590700B"/>
    <w:multiLevelType w:val="hybridMultilevel"/>
    <w:lvl w:ilvl="0">
      <w:lvlJc w:val="left"/>
      <w:lvlText w:val="(%1)"/>
      <w:numFmt w:val="decimal"/>
      <w:start w:val="4"/>
    </w:lvl>
  </w:abstractNum>
  <w:abstractNum w:abstractNumId="41">
    <w:nsid w:val="15014ACB"/>
    <w:multiLevelType w:val="hybridMultilevel"/>
    <w:lvl w:ilvl="0">
      <w:lvlJc w:val="left"/>
      <w:lvlText w:val="%1"/>
      <w:numFmt w:val="upperLetter"/>
      <w:start w:val="1"/>
    </w:lvl>
    <w:lvl w:ilvl="1">
      <w:lvlJc w:val="left"/>
      <w:lvlText w:val="(%2)"/>
      <w:numFmt w:val="decimal"/>
      <w:start w:val="1"/>
    </w:lvl>
  </w:abstractNum>
  <w:abstractNum w:abstractNumId="42">
    <w:nsid w:val="5F5E7FD0"/>
    <w:multiLevelType w:val="hybridMultilevel"/>
    <w:lvl w:ilvl="0">
      <w:lvlJc w:val="left"/>
      <w:lvlText w:val="(%1)"/>
      <w:numFmt w:val="upperLetter"/>
      <w:start w:val="2"/>
    </w:lvl>
    <w:lvl w:ilvl="1">
      <w:lvlJc w:val="left"/>
      <w:lvlText w:val="%2"/>
      <w:numFmt w:val="decimal"/>
      <w:start w:val="1"/>
    </w:lvl>
  </w:abstractNum>
  <w:abstractNum w:abstractNumId="43">
    <w:nsid w:val="98A3148"/>
    <w:multiLevelType w:val="hybridMultilevel"/>
    <w:lvl w:ilvl="0">
      <w:lvlJc w:val="left"/>
      <w:lvlText w:val="(%1)"/>
      <w:numFmt w:val="decimal"/>
      <w:start w:val="2"/>
    </w:lvl>
  </w:abstractNum>
  <w:abstractNum w:abstractNumId="44">
    <w:nsid w:val="799D0247"/>
    <w:multiLevelType w:val="hybridMultilevel"/>
    <w:lvl w:ilvl="0">
      <w:lvlJc w:val="left"/>
      <w:lvlText w:val="(%1)"/>
      <w:numFmt w:val="decimal"/>
      <w:start w:val="4"/>
    </w:lvl>
  </w:abstractNum>
  <w:abstractNum w:abstractNumId="45">
    <w:nsid w:val="6B94764"/>
    <w:multiLevelType w:val="hybridMultilevel"/>
    <w:lvl w:ilvl="0">
      <w:lvlJc w:val="left"/>
      <w:lvlText w:val="(%1)"/>
      <w:numFmt w:val="decimal"/>
      <w:start w:val="1"/>
    </w:lvl>
  </w:abstractNum>
  <w:abstractNum w:abstractNumId="46">
    <w:nsid w:val="42C296BD"/>
    <w:multiLevelType w:val="hybridMultilevel"/>
    <w:lvl w:ilvl="0">
      <w:lvlJc w:val="left"/>
      <w:lvlText w:val="(%1)"/>
      <w:numFmt w:val="lowerLetter"/>
      <w:start w:val="2"/>
    </w:lvl>
  </w:abstractNum>
  <w:abstractNum w:abstractNumId="47">
    <w:nsid w:val="168E121F"/>
    <w:multiLevelType w:val="hybridMultilevel"/>
    <w:lvl w:ilvl="0">
      <w:lvlJc w:val="left"/>
      <w:lvlText w:val="(%1)"/>
      <w:numFmt w:val="lowerLetter"/>
      <w:start w:val="1"/>
    </w:lvl>
  </w:abstractNum>
  <w:abstractNum w:abstractNumId="48">
    <w:nsid w:val="1EBA5D23"/>
    <w:multiLevelType w:val="hybridMultilevel"/>
    <w:lvl w:ilvl="0">
      <w:lvlJc w:val="left"/>
      <w:lvlText w:val="(%1)"/>
      <w:numFmt w:val="lowerLetter"/>
      <w:start w:val="2"/>
    </w:lvl>
    <w:lvl w:ilvl="1">
      <w:lvlJc w:val="left"/>
      <w:lvlText w:val="(%2)"/>
      <w:numFmt w:val="lowerRoman"/>
      <w:start w:val="1"/>
    </w:lvl>
  </w:abstractNum>
  <w:abstractNum w:abstractNumId="49">
    <w:nsid w:val="661E3F1E"/>
    <w:multiLevelType w:val="hybridMultilevel"/>
    <w:lvl w:ilvl="0">
      <w:lvlJc w:val="left"/>
      <w:lvlText w:val="(%1)"/>
      <w:numFmt w:val="lowerLetter"/>
      <w:start w:val="3"/>
    </w:lvl>
  </w:abstractNum>
  <w:abstractNum w:abstractNumId="50">
    <w:nsid w:val="5DC79EA8"/>
    <w:multiLevelType w:val="hybridMultilevel"/>
    <w:lvl w:ilvl="0">
      <w:lvlJc w:val="left"/>
      <w:lvlText w:val="(%1)"/>
      <w:numFmt w:val="lowerLetter"/>
      <w:start w:val="1"/>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1)"/>
      <w:numFmt w:val="decimal"/>
      <w:start w:val="1"/>
    </w:lvl>
  </w:abstractNum>
  <w:abstractNum w:abstractNumId="53">
    <w:nsid w:val="51D9C564"/>
    <w:multiLevelType w:val="hybridMultilevel"/>
    <w:lvl w:ilvl="0">
      <w:lvlJc w:val="left"/>
      <w:lvlText w:val="(%1)"/>
      <w:numFmt w:val="decimal"/>
      <w:start w:val="7"/>
    </w:lvl>
  </w:abstractNum>
  <w:abstractNum w:abstractNumId="54">
    <w:nsid w:val="613EFDC5"/>
    <w:multiLevelType w:val="hybridMultilevel"/>
    <w:lvl w:ilvl="0">
      <w:lvlJc w:val="left"/>
      <w:lvlText w:val="(%1)"/>
      <w:numFmt w:val="decimal"/>
      <w:start w:val="15"/>
    </w:lvl>
  </w:abstractNum>
  <w:abstractNum w:abstractNumId="55">
    <w:nsid w:val="BF72B14"/>
    <w:multiLevelType w:val="hybridMultilevel"/>
    <w:lvl w:ilvl="0">
      <w:lvlJc w:val="left"/>
      <w:lvlText w:val="(%1)"/>
      <w:numFmt w:val="decimal"/>
      <w:start w:val="4"/>
    </w:lvl>
  </w:abstractNum>
  <w:abstractNum w:abstractNumId="56">
    <w:nsid w:val="11447B73"/>
    <w:multiLevelType w:val="hybridMultilevel"/>
    <w:lvl w:ilvl="0">
      <w:lvlJc w:val="left"/>
      <w:lvlText w:val="(%1)"/>
      <w:numFmt w:val="decimal"/>
      <w:start w:val="9"/>
    </w:lvl>
  </w:abstractNum>
  <w:abstractNum w:abstractNumId="57">
    <w:nsid w:val="42963E5A"/>
    <w:multiLevelType w:val="hybridMultilevel"/>
    <w:lvl w:ilvl="0">
      <w:lvlJc w:val="left"/>
      <w:lvlText w:val="(%1)"/>
      <w:numFmt w:val="lowerLetter"/>
      <w:start w:val="1"/>
    </w:lvl>
  </w:abstractNum>
  <w:abstractNum w:abstractNumId="58">
    <w:nsid w:val="A0382C5"/>
    <w:multiLevelType w:val="hybridMultilevel"/>
    <w:lvl w:ilvl="0">
      <w:lvlJc w:val="left"/>
      <w:lvlText w:val="(%1)"/>
      <w:numFmt w:val="lowerLetter"/>
      <w:start w:val="4"/>
    </w:lvl>
  </w:abstractNum>
  <w:abstractNum w:abstractNumId="59">
    <w:nsid w:val="8F2B15E"/>
    <w:multiLevelType w:val="hybridMultilevel"/>
    <w:lvl w:ilvl="0">
      <w:lvlJc w:val="left"/>
      <w:lvlText w:val="(%1)"/>
      <w:numFmt w:val="lowerLetter"/>
      <w:start w:val="1"/>
    </w:lvl>
  </w:abstractNum>
  <w:abstractNum w:abstractNumId="60">
    <w:nsid w:val="1A32234B"/>
    <w:multiLevelType w:val="hybridMultilevel"/>
    <w:lvl w:ilvl="0">
      <w:lvlJc w:val="left"/>
      <w:lvlText w:val="(%1)"/>
      <w:numFmt w:val="lowerLetter"/>
      <w:start w:val="2"/>
    </w:lvl>
  </w:abstractNum>
  <w:abstractNum w:abstractNumId="61">
    <w:nsid w:val="3B0FD379"/>
    <w:multiLevelType w:val="hybridMultilevel"/>
    <w:lvl w:ilvl="0">
      <w:lvlJc w:val="left"/>
      <w:lvlText w:val="(%1)"/>
      <w:numFmt w:val="lowerLetter"/>
      <w:start w:val="1"/>
    </w:lvl>
  </w:abstractNum>
  <w:abstractNum w:abstractNumId="62">
    <w:nsid w:val="68EB2F63"/>
    <w:multiLevelType w:val="hybridMultilevel"/>
    <w:lvl w:ilvl="0">
      <w:lvlJc w:val="left"/>
      <w:lvlText w:val="(%1)"/>
      <w:numFmt w:val="lowerLetter"/>
      <w:start w:val="2"/>
    </w:lvl>
  </w:abstractNum>
  <w:abstractNum w:abstractNumId="63">
    <w:nsid w:val="4962813B"/>
    <w:multiLevelType w:val="hybridMultilevel"/>
    <w:lvl w:ilvl="0">
      <w:lvlJc w:val="left"/>
      <w:lvlText w:val="%1"/>
      <w:numFmt w:val="decimal"/>
      <w:start w:val="1"/>
    </w:lvl>
    <w:lvl w:ilvl="1">
      <w:lvlJc w:val="left"/>
      <w:lvlText w:val="(%2)"/>
      <w:numFmt w:val="lowerLetter"/>
      <w:start w:val="1"/>
    </w:lvl>
  </w:abstractNum>
  <w:abstractNum w:abstractNumId="64">
    <w:nsid w:val="60B6DF70"/>
    <w:multiLevelType w:val="hybridMultilevel"/>
    <w:lvl w:ilvl="0">
      <w:lvlJc w:val="left"/>
      <w:lvlText w:val="(%1)"/>
      <w:numFmt w:val="decimal"/>
      <w:start w:val="1"/>
    </w:lvl>
    <w:lvl w:ilvl="1">
      <w:lvlJc w:val="left"/>
      <w:lvlText w:val="(%2)"/>
      <w:numFmt w:val="lowerLetter"/>
      <w:start w:val="2"/>
    </w:lvl>
  </w:abstractNum>
  <w:abstractNum w:abstractNumId="65">
    <w:nsid w:val="6A5EE6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66">
    <w:nsid w:val="14330624"/>
    <w:multiLevelType w:val="hybridMultilevel"/>
    <w:lvl w:ilvl="0">
      <w:lvlJc w:val="left"/>
      <w:lvlText w:val="(%1)"/>
      <w:numFmt w:val="decimal"/>
      <w:start w:val="6"/>
    </w:lvl>
    <w:lvl w:ilvl="1">
      <w:lvlJc w:val="left"/>
      <w:lvlText w:val="(%2)"/>
      <w:numFmt w:val="upperLetter"/>
      <w:start w:val="1"/>
    </w:lvl>
  </w:abstractNum>
  <w:abstractNum w:abstractNumId="67">
    <w:nsid w:val="7FFFCA11"/>
    <w:multiLevelType w:val="hybridMultilevel"/>
    <w:lvl w:ilvl="0">
      <w:lvlJc w:val="left"/>
      <w:lvlText w:val="%1"/>
      <w:numFmt w:val="lowerLetter"/>
      <w:start w:val="1"/>
    </w:lvl>
    <w:lvl w:ilvl="1">
      <w:lvlJc w:val="left"/>
      <w:lvlText w:val="(%2)"/>
      <w:numFmt w:val="decimal"/>
      <w:start w:val="8"/>
    </w:lvl>
  </w:abstractNum>
  <w:abstractNum w:abstractNumId="68">
    <w:nsid w:val="1A27709E"/>
    <w:multiLevelType w:val="hybridMultilevel"/>
    <w:lvl w:ilvl="0">
      <w:lvlJc w:val="left"/>
      <w:lvlText w:val="(%1)"/>
      <w:numFmt w:val="lowerLetter"/>
      <w:start w:val="2"/>
    </w:lvl>
    <w:lvl w:ilvl="1">
      <w:lvlJc w:val="left"/>
      <w:lvlText w:val="%2"/>
      <w:numFmt w:val="decimal"/>
      <w:start w:val="1"/>
    </w:lvl>
  </w:abstractNum>
  <w:abstractNum w:abstractNumId="69">
    <w:nsid w:val="71EA1109"/>
    <w:multiLevelType w:val="hybridMultilevel"/>
    <w:lvl w:ilvl="0">
      <w:lvlJc w:val="left"/>
      <w:lvlText w:val="(%1)"/>
      <w:numFmt w:val="decimal"/>
      <w:start w:val="1"/>
    </w:lvl>
  </w:abstractNum>
  <w:abstractNum w:abstractNumId="70">
    <w:nsid w:val="100F59DC"/>
    <w:multiLevelType w:val="hybridMultilevel"/>
    <w:lvl w:ilvl="0">
      <w:lvlJc w:val="left"/>
      <w:lvlText w:val="(%1)"/>
      <w:numFmt w:val="decimal"/>
      <w:start w:val="1"/>
    </w:lvl>
  </w:abstractNum>
  <w:abstractNum w:abstractNumId="71">
    <w:nsid w:val="7FB7E0AA"/>
    <w:multiLevelType w:val="hybridMultilevel"/>
    <w:lvl w:ilvl="0">
      <w:lvlJc w:val="left"/>
      <w:lvlText w:val="(%1)"/>
      <w:numFmt w:val="decimal"/>
      <w:start w:val="8"/>
    </w:lvl>
  </w:abstractNum>
  <w:abstractNum w:abstractNumId="72">
    <w:nsid w:val="6EB5BD4"/>
    <w:multiLevelType w:val="hybridMultilevel"/>
    <w:lvl w:ilvl="0">
      <w:lvlJc w:val="left"/>
      <w:lvlText w:val="(%1)"/>
      <w:numFmt w:val="decimal"/>
      <w:start w:val="1"/>
    </w:lvl>
  </w:abstractNum>
  <w:abstractNum w:abstractNumId="73">
    <w:nsid w:val="6F6DD9AC"/>
    <w:multiLevelType w:val="hybridMultilevel"/>
    <w:lvl w:ilvl="0">
      <w:lvlJc w:val="left"/>
      <w:lvlText w:val="(%1)"/>
      <w:numFmt w:val="decimal"/>
      <w:start w:val="2"/>
    </w:lvl>
  </w:abstractNum>
  <w:abstractNum w:abstractNumId="74">
    <w:nsid w:val="94211F2"/>
    <w:multiLevelType w:val="hybridMultilevel"/>
    <w:lvl w:ilvl="0">
      <w:lvlJc w:val="left"/>
      <w:lvlText w:val="(%1)"/>
      <w:numFmt w:val="lowerLetter"/>
      <w:start w:val="2"/>
    </w:lvl>
  </w:abstractNum>
  <w:abstractNum w:abstractNumId="75">
    <w:nsid w:val="885E1B"/>
    <w:multiLevelType w:val="hybridMultilevel"/>
    <w:lvl w:ilvl="0">
      <w:lvlJc w:val="left"/>
      <w:lvlText w:val="(%1)"/>
      <w:numFmt w:val="lowerLetter"/>
      <w:start w:val="1"/>
    </w:lvl>
  </w:abstractNum>
  <w:abstractNum w:abstractNumId="76">
    <w:nsid w:val="76272110"/>
    <w:multiLevelType w:val="hybridMultilevel"/>
    <w:lvl w:ilvl="0">
      <w:lvlJc w:val="left"/>
      <w:lvlText w:val="(%1)"/>
      <w:numFmt w:val="decimal"/>
      <w:start w:val="1"/>
    </w:lvl>
  </w:abstractNum>
  <w:abstractNum w:abstractNumId="77">
    <w:nsid w:val="4C04A8AF"/>
    <w:multiLevelType w:val="hybridMultilevel"/>
    <w:lvl w:ilvl="0">
      <w:lvlJc w:val="left"/>
      <w:lvlText w:val="1"/>
      <w:numFmt w:val="bullet"/>
      <w:start w:val="1"/>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2"/>
    </w:lvl>
  </w:abstractNum>
  <w:abstractNum w:abstractNumId="80">
    <w:nsid w:val="3222E7CD"/>
    <w:multiLevelType w:val="hybridMultilevel"/>
    <w:lvl w:ilvl="0">
      <w:lvlJc w:val="left"/>
      <w:lvlText w:val="%1."/>
      <w:numFmt w:val="decimal"/>
      <w:start w:val="3"/>
    </w:lvl>
  </w:abstractNum>
  <w:abstractNum w:abstractNumId="81">
    <w:nsid w:val="74DE0EE3"/>
    <w:multiLevelType w:val="hybridMultilevel"/>
    <w:lvl w:ilvl="0">
      <w:lvlJc w:val="left"/>
      <w:lvlText w:val="%1."/>
      <w:numFmt w:val="decimal"/>
      <w:start w:val="4"/>
    </w:lvl>
  </w:abstractNum>
  <w:abstractNum w:abstractNumId="82">
    <w:nsid w:val="68EBC550"/>
    <w:multiLevelType w:val="hybridMultilevel"/>
    <w:lvl w:ilvl="0">
      <w:lvlJc w:val="left"/>
      <w:lvlText w:val="%1."/>
      <w:numFmt w:val="decimal"/>
      <w:start w:val="5"/>
    </w:lvl>
    <w:lvl w:ilvl="1">
      <w:lvlJc w:val="left"/>
      <w:lvlText w:val="(%2)"/>
      <w:numFmt w:val="lowerLetter"/>
      <w:start w:val="1"/>
    </w:lvl>
  </w:abstractNum>
  <w:abstractNum w:abstractNumId="83">
    <w:nsid w:val="2DF6D648"/>
    <w:multiLevelType w:val="hybridMultilevel"/>
    <w:lvl w:ilvl="0">
      <w:lvlJc w:val="left"/>
      <w:lvlText w:val="%1."/>
      <w:numFmt w:val="decimal"/>
      <w:start w:val="6"/>
    </w:lvl>
  </w:abstractNum>
  <w:abstractNum w:abstractNumId="84">
    <w:nsid w:val="46B7D447"/>
    <w:multiLevelType w:val="hybridMultilevel"/>
    <w:lvl w:ilvl="0">
      <w:lvlJc w:val="left"/>
      <w:lvlText w:val="%1."/>
      <w:numFmt w:val="decimal"/>
      <w:start w:val="7"/>
    </w:lvl>
  </w:abstractNum>
  <w:abstractNum w:abstractNumId="85">
    <w:nsid w:val="4A2AC315"/>
    <w:multiLevelType w:val="hybridMultilevel"/>
    <w:lvl w:ilvl="0">
      <w:lvlJc w:val="left"/>
      <w:lvlText w:val="%1."/>
      <w:numFmt w:val="decimal"/>
      <w:start w:val="8"/>
    </w:lvl>
  </w:abstractNum>
  <w:abstractNum w:abstractNumId="86">
    <w:nsid w:val="39EE015C"/>
    <w:multiLevelType w:val="hybridMultilevel"/>
    <w:lvl w:ilvl="0">
      <w:lvlJc w:val="left"/>
      <w:lvlText w:val="%1."/>
      <w:numFmt w:val="decimal"/>
      <w:start w:val="9"/>
    </w:lvl>
  </w:abstractNum>
  <w:abstractNum w:abstractNumId="87">
    <w:nsid w:val="57FC4FBB"/>
    <w:multiLevelType w:val="hybridMultilevel"/>
    <w:lvl w:ilvl="0">
      <w:lvlJc w:val="left"/>
      <w:lvlText w:val="%1."/>
      <w:numFmt w:val="decimal"/>
      <w:start w:val="10"/>
    </w:lvl>
  </w:abstractNum>
  <w:abstractNum w:abstractNumId="88">
    <w:nsid w:val="CC1016F"/>
    <w:multiLevelType w:val="hybridMultilevel"/>
    <w:lvl w:ilvl="0">
      <w:lvlJc w:val="left"/>
      <w:lvlText w:val="%1."/>
      <w:numFmt w:val="decimal"/>
      <w:start w:val="11"/>
    </w:lvl>
  </w:abstractNum>
  <w:abstractNum w:abstractNumId="89">
    <w:nsid w:val="43F18422"/>
    <w:multiLevelType w:val="hybridMultilevel"/>
    <w:lvl w:ilvl="0">
      <w:lvlJc w:val="left"/>
      <w:lvlText w:val="%1."/>
      <w:numFmt w:val="decimal"/>
      <w:start w:val="12"/>
    </w:lvl>
  </w:abstractNum>
  <w:abstractNum w:abstractNumId="90">
    <w:nsid w:val="60EF0119"/>
    <w:multiLevelType w:val="hybridMultilevel"/>
    <w:lvl w:ilvl="0">
      <w:lvlJc w:val="left"/>
      <w:lvlText w:val="%1."/>
      <w:numFmt w:val="decimal"/>
      <w:start w:val="13"/>
    </w:lvl>
  </w:abstractNum>
  <w:abstractNum w:abstractNumId="91">
    <w:nsid w:val="26F324BA"/>
    <w:multiLevelType w:val="hybridMultilevel"/>
    <w:lvl w:ilvl="0">
      <w:lvlJc w:val="left"/>
      <w:lvlText w:val="%1."/>
      <w:numFmt w:val="decimal"/>
      <w:start w:val="14"/>
    </w:lvl>
  </w:abstractNum>
  <w:abstractNum w:abstractNumId="92">
    <w:nsid w:val="7F01579B"/>
    <w:multiLevelType w:val="hybridMultilevel"/>
    <w:lvl w:ilvl="0">
      <w:lvlJc w:val="left"/>
      <w:lvlText w:val="%1."/>
      <w:numFmt w:val="decimal"/>
      <w:start w:val="15"/>
    </w:lvl>
  </w:abstractNum>
  <w:abstractNum w:abstractNumId="93">
    <w:nsid w:val="49DA307D"/>
    <w:multiLevelType w:val="hybridMultilevel"/>
    <w:lvl w:ilvl="0">
      <w:lvlJc w:val="left"/>
      <w:lvlText w:val="%1."/>
      <w:numFmt w:val="decimal"/>
      <w:start w:val="16"/>
    </w:lvl>
  </w:abstractNum>
  <w:abstractNum w:abstractNumId="94">
    <w:nsid w:val="7055A5F5"/>
    <w:multiLevelType w:val="hybridMultilevel"/>
    <w:lvl w:ilvl="0">
      <w:lvlJc w:val="left"/>
      <w:lvlText w:val="%1."/>
      <w:numFmt w:val="decimal"/>
      <w:start w:val="17"/>
    </w:lvl>
  </w:abstractNum>
  <w:abstractNum w:abstractNumId="95">
    <w:nsid w:val="5FB8370B"/>
    <w:multiLevelType w:val="hybridMultilevel"/>
    <w:lvl w:ilvl="0">
      <w:lvlJc w:val="left"/>
      <w:lvlText w:val="(%1)"/>
      <w:numFmt w:val="decimal"/>
      <w:start w:val="4"/>
    </w:lvl>
  </w:abstractNum>
  <w:abstractNum w:abstractNumId="96">
    <w:nsid w:val="50801EE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2022-12-13T15:37:46Z</dcterms:created>
  <dcterms:modified xsi:type="dcterms:W3CDTF">2022-12-13T15:37:46Z</dcterms:modified>
</cp:coreProperties>
</file>