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25278X109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Hillary H. Holmes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Gibson, Dunn &amp; Crutcher LLP, 811 Main Street, Suite 3000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Houston, TX, 77002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(346) 718-6600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25278X109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SGF FANG Holdings,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101,686,727.00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101,686,727.00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101,686,727.00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1: On August 13, 2025, in connection with the Reorganization (as defined and described in Item 2(a)</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hereto), SGF FANG Holdings, LP became the record holder of 101,686,727 shares of Company Common Stock.</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Lyndal Stephens Greth ("Mrs. Stephens Greth") remains the ultimate beneficial owner of the shares. Note to Row 13:</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Based upon 289,486,120 shares of Company Common Stock outstanding as of August 1, 2025, as disclosed by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Company in its Form 10-Q filed with the Securities and Exchange Commission (the "SEC") on August 6, 2025.</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25278X109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Greth Lyndal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101,686,727.00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101,686,727.00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101,686,727.00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Rows 8, 10, and 11: Following the Reorganization, these figures consist of 101,686,727 shares of Company</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Common Stock held directly by SGF FANG Holdings, LP, which is ultimately controlled by Mrs. Stephens Greth.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Mrs. Stephens Greth is the ultimate beneficial owner of the shares of Company Common Stock. Note to Row 13:</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Based upon 289,486,120 shares of Company Common Stock outstanding as of August 1, 2025, as disclosed by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Company in its Form 10-Q filed with the SEC on August 6, 2025.</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25278X109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Autry Stephens Management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81"/>
        </w:trPr>
        <w:tc>
          <w:tcPr>
            <w:tcW w:w="1100" w:type="dxa"/>
            <w:vAlign w:val="bottom"/>
          </w:tcPr>
          <w:p>
            <w:pPr>
              <w:spacing w:after="0"/>
              <w:rPr>
                <w:sz w:val="7"/>
                <w:szCs w:val="7"/>
                <w:color w:val="auto"/>
              </w:rPr>
            </w:pPr>
          </w:p>
        </w:tc>
        <w:tc>
          <w:tcPr>
            <w:tcW w:w="7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-1344295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69"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1: On August 13, 2025, in connection with the Reorganization, SGF FANG Holdings, LP became the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record holder of 101,686,727 shares of Company Common Stock. Mrs. Stephens Greth remains the ultimate beneficial</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 of the shares. The Autry Stephens Management Trust no longer beneficially owns any shares of Company</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Common Stock following the Reorganization. Accordingly, it has exited the Section 13(d) reporting scheme and will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no longer be a Reporting Person on this Schedule 13D going forward.</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25278X109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ACS Capital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sectPr>
          <w:pgSz w:w="11900" w:h="16838" w:orient="portrait"/>
          <w:cols w:equalWidth="0" w:num="2">
            <w:col w:w="1100" w:space="60"/>
            <w:col w:w="10080"/>
          </w:cols>
          <w:pgMar w:left="320" w:top="102" w:right="339" w:bottom="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02" w:right="339" w:bottom="0" w:gutter="0" w:footer="0" w:header="0"/>
          <w:type w:val="continuous"/>
        </w:sectPr>
      </w:pPr>
    </w:p>
    <w:bookmarkStart w:id="4" w:name="page5"/>
    <w:bookmarkEnd w:id="4"/>
    <w:p>
      <w:pPr>
        <w:ind w:left="1160" w:right="4580" w:hanging="1112"/>
        <w:spacing w:after="0" w:line="371" w:lineRule="auto"/>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0.00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1: On August 13, 2025, in connection with the Reorganization, SGF FANG Holdings, LP became the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record holder of 101,686,727 shares of Company Common Stock. Mrs. Stephens Greth remains the ultimate beneficial</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 of the shares. ACS Capital Management, LLC no longer beneficially owns any shares of Company Common</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Stock following the Reorganization. Accordingly, it has exited the Section 13(d) reporting scheme and will no longer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be a Reporting Person on this Schedule 13D going forward.</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25278X109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ACS Capital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46"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100" w:space="60"/>
            <w:col w:w="10080"/>
          </w:cols>
          <w:pgMar w:left="320" w:top="112" w:right="339" w:bottom="46"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1: On August 13, 2025, in connection with the Reorganization, SGF FANG Holdings, LP became the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record holder of 101,686,727 shares of Company Common Stock. Mrs. Stephens Greth remains the ultimate beneficial</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 of the shares. ACS Capital Holdings, LP no longer beneficially owns any shares of Company Common Stock</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following the Reorganization. Accordingly, it has exited the Section 13(d) reporting scheme and will no longer be a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Reporting Person on this Schedule 13D going forward.</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25278X109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Endeavor Manager,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1: On August 13, 2025, in connection with the Reorganization, SGF FANG Holdings, LP became the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record holder of 101,686,727 shares of Company Common Stock. Mrs. Stephens Greth remains the ultimate beneficial</w:t>
            </w:r>
          </w:p>
        </w:tc>
      </w:tr>
      <w:tr>
        <w:trPr>
          <w:trHeight w:val="30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 of the shares. Endeavor Manager, LLC no longer beneficially owns any shares of Company Common Stock</w:t>
            </w:r>
          </w:p>
        </w:tc>
      </w:tr>
    </w:tbl>
    <w:p>
      <w:pPr>
        <w:sectPr>
          <w:pgSz w:w="11900" w:h="16838" w:orient="portrait"/>
          <w:cols w:equalWidth="0" w:num="1">
            <w:col w:w="11240"/>
          </w:cols>
          <w:pgMar w:left="320" w:top="111" w:right="339" w:bottom="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Reporting </w:t>
      </w:r>
      <w:r>
        <w:rPr>
          <w:rFonts w:ascii="Times New Roman" w:cs="Times New Roman" w:eastAsia="Times New Roman" w:hAnsi="Times New Roman"/>
          <w:sz w:val="21"/>
          <w:szCs w:val="21"/>
          <w:color w:val="auto"/>
        </w:rPr>
        <w:t>following the Reorganization. Accordingly, it has exited the Section 13(d) reporting scheme and will no longer be a</w:t>
      </w:r>
      <w:r>
        <w:rPr>
          <w:rFonts w:ascii="Times New Roman" w:cs="Times New Roman" w:eastAsia="Times New Roman" w:hAnsi="Times New Roman"/>
          <w:sz w:val="19"/>
          <w:szCs w:val="19"/>
          <w:b w:val="1"/>
          <w:bCs w:val="1"/>
          <w:color w:val="auto"/>
        </w:rPr>
        <w:t xml:space="preserve"> Person: </w:t>
      </w:r>
      <w:r>
        <w:rPr>
          <w:rFonts w:ascii="Times New Roman" w:cs="Times New Roman" w:eastAsia="Times New Roman" w:hAnsi="Times New Roman"/>
          <w:sz w:val="21"/>
          <w:szCs w:val="21"/>
          <w:color w:val="auto"/>
        </w:rPr>
        <w:t>Reporting Person on this Schedule 13D going forward.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25278X109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Stephens Family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Note to Row 1: The Stephens Family Trust is not the record holder or the ultimate beneficial owner of any shares</w:t>
      </w: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080" w:type="dxa"/>
            <w:vAlign w:val="bottom"/>
          </w:tcPr>
          <w:p>
            <w:pPr>
              <w:ind w:left="280"/>
              <w:spacing w:after="0" w:line="221" w:lineRule="exact"/>
              <w:rPr>
                <w:sz w:val="20"/>
                <w:szCs w:val="20"/>
                <w:color w:val="auto"/>
              </w:rPr>
            </w:pPr>
            <w:r>
              <w:rPr>
                <w:rFonts w:ascii="Times New Roman" w:cs="Times New Roman" w:eastAsia="Times New Roman" w:hAnsi="Times New Roman"/>
                <w:sz w:val="22"/>
                <w:szCs w:val="22"/>
                <w:color w:val="auto"/>
                <w:w w:val="98"/>
              </w:rPr>
              <w:t>of Company Common Stock. Accordingly, it has exited the Section 13(d) reporting scheme and will no longer be</w:t>
            </w: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08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a Reporting Person on this Schedule 13D going forward.</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0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11" w:right="339" w:bottom="50"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25278X109</w:t>
      </w:r>
    </w:p>
    <w:p>
      <w:pPr>
        <w:sectPr>
          <w:pgSz w:w="11900" w:h="16838" w:orient="portrait"/>
          <w:cols w:equalWidth="0" w:num="1">
            <w:col w:w="11240"/>
          </w:cols>
          <w:pgMar w:left="320" w:top="111" w:right="339" w:bottom="5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Stephens Family Trust #2</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2"/>
          <w:szCs w:val="22"/>
          <w:color w:val="auto"/>
        </w:rPr>
        <w:t>Note to Row 1: The Stephens Family Trust #2 is not the record holder or the ultimate beneficial owner of any</w:t>
      </w: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80"/>
              <w:spacing w:after="0" w:line="210" w:lineRule="exact"/>
              <w:rPr>
                <w:sz w:val="20"/>
                <w:szCs w:val="20"/>
                <w:color w:val="auto"/>
              </w:rPr>
            </w:pPr>
            <w:r>
              <w:rPr>
                <w:rFonts w:ascii="Times New Roman" w:cs="Times New Roman" w:eastAsia="Times New Roman" w:hAnsi="Times New Roman"/>
                <w:sz w:val="22"/>
                <w:szCs w:val="22"/>
                <w:color w:val="auto"/>
              </w:rPr>
              <w:t>shares of Company Common Stock. Accordingly, it has exited the Section 13(d) reporting scheme and will no</w:t>
            </w: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longer be a Reporting Person on this Schedule 13D going forward.</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25278X109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SFT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639" w:right="359" w:bottom="0" w:gutter="0" w:footer="0" w:header="0"/>
        </w:sectPr>
      </w:pPr>
    </w:p>
    <w:bookmarkStart w:id="8" w:name="page9"/>
    <w:bookmarkEnd w:id="8"/>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Note to Row 1: SFT Management, LLC is not the record holder or the ultimate beneficial owner of any shares of</w:t>
      </w: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00"/>
              <w:spacing w:after="0" w:line="221" w:lineRule="exact"/>
              <w:rPr>
                <w:sz w:val="20"/>
                <w:szCs w:val="20"/>
                <w:color w:val="auto"/>
              </w:rPr>
            </w:pPr>
            <w:r>
              <w:rPr>
                <w:rFonts w:ascii="Times New Roman" w:cs="Times New Roman" w:eastAsia="Times New Roman" w:hAnsi="Times New Roman"/>
                <w:sz w:val="22"/>
                <w:szCs w:val="22"/>
                <w:color w:val="auto"/>
                <w:w w:val="98"/>
              </w:rPr>
              <w:t>Company Common Stock. Accordingly, it has exited the Section 13(d) reporting scheme and will no longer be a</w:t>
            </w: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00"/>
              <w:spacing w:after="0" w:line="240" w:lineRule="exact"/>
              <w:rPr>
                <w:sz w:val="20"/>
                <w:szCs w:val="20"/>
                <w:color w:val="auto"/>
              </w:rPr>
            </w:pPr>
            <w:r>
              <w:rPr>
                <w:rFonts w:ascii="Times New Roman" w:cs="Times New Roman" w:eastAsia="Times New Roman" w:hAnsi="Times New Roman"/>
                <w:sz w:val="22"/>
                <w:szCs w:val="22"/>
                <w:color w:val="auto"/>
              </w:rPr>
              <w:t>Reporting Person on this Schedule 13D going forward.</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25278X109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SFT 1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46"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280"/>
        <w:spacing w:after="0" w:line="244" w:lineRule="auto"/>
        <w:rPr>
          <w:sz w:val="20"/>
          <w:szCs w:val="20"/>
          <w:color w:val="auto"/>
        </w:rPr>
      </w:pPr>
      <w:r>
        <w:rPr>
          <w:rFonts w:ascii="Times New Roman" w:cs="Times New Roman" w:eastAsia="Times New Roman" w:hAnsi="Times New Roman"/>
          <w:sz w:val="22"/>
          <w:szCs w:val="22"/>
          <w:color w:val="auto"/>
        </w:rPr>
        <w:t>Note to Row 1: SFT 1 Holdings, LLC is not the record holder or the ultimate beneficial owner of any shares of Company Common Stock. Accordingly, it has exited the Section 13(d) reporting scheme and will no longer be a Reporting Person on this Schedule 13D going forward.</w:t>
      </w:r>
    </w:p>
    <w:p>
      <w:pPr>
        <w:spacing w:after="0" w:line="400" w:lineRule="exact"/>
        <w:rPr>
          <w:sz w:val="20"/>
          <w:szCs w:val="20"/>
          <w:color w:val="auto"/>
        </w:rPr>
      </w:pPr>
    </w:p>
    <w:p>
      <w:pPr>
        <w:sectPr>
          <w:pgSz w:w="11900" w:h="16838" w:orient="portrait"/>
          <w:cols w:equalWidth="0" w:num="2">
            <w:col w:w="1120" w:space="40"/>
            <w:col w:w="10080"/>
          </w:cols>
          <w:pgMar w:left="320" w:top="111"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25278X109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SFT 2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280"/>
        <w:spacing w:after="0" w:line="244" w:lineRule="auto"/>
        <w:rPr>
          <w:sz w:val="20"/>
          <w:szCs w:val="20"/>
          <w:color w:val="auto"/>
        </w:rPr>
      </w:pPr>
      <w:r>
        <w:rPr>
          <w:rFonts w:ascii="Times New Roman" w:cs="Times New Roman" w:eastAsia="Times New Roman" w:hAnsi="Times New Roman"/>
          <w:sz w:val="22"/>
          <w:szCs w:val="22"/>
          <w:color w:val="auto"/>
        </w:rPr>
        <w:t>Note to Row 1: SFT 2 Holdings, LLC is not the record holder or the ultimate beneficial owner of any shares of Company Common Stock. Accordingly, it has exited the Section 13(d) reporting scheme and will no longer be a Reporting Person on this Schedule 13D going forward.</w:t>
      </w:r>
    </w:p>
    <w:p>
      <w:pPr>
        <w:spacing w:after="0" w:line="400" w:lineRule="exact"/>
        <w:rPr>
          <w:sz w:val="20"/>
          <w:szCs w:val="20"/>
          <w:color w:val="auto"/>
        </w:rPr>
      </w:pPr>
    </w:p>
    <w:p>
      <w:pPr>
        <w:sectPr>
          <w:pgSz w:w="11900" w:h="16838" w:orient="portrait"/>
          <w:cols w:equalWidth="0" w:num="2">
            <w:col w:w="1120" w:space="40"/>
            <w:col w:w="10080"/>
          </w:cols>
          <w:pgMar w:left="320" w:top="112"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Diamondback Energy,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500 WEST TEXAS AVE., SUITE 1200, MIDLAND, TEXAS , 79701.</w:t>
      </w:r>
    </w:p>
    <w:p>
      <w:pPr>
        <w:spacing w:after="0" w:line="20" w:lineRule="exact"/>
        <w:rPr>
          <w:sz w:val="20"/>
          <w:szCs w:val="20"/>
          <w:color w:val="auto"/>
        </w:rPr>
      </w:pPr>
    </w:p>
    <w:p>
      <w:pPr>
        <w:jc w:val="right"/>
        <w:ind w:left="40" w:right="40"/>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amends and supplements the statement on Schedule 13D originally filed with the SEC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September 13, 2024, as amended on September 24, 2024 (the "Schedule 13D"), by the Reporting Persons (as defined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below) with respect to shares of Company Common Stock. Unless otherwise defined herein, capitalized terms used in this Amendment No. 2 shall have the meanings ascribed to them in the Schedule 13D. Unless amended or</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supplemented below, the information in the Schedule 13D remains unchanged.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160"/>
        <w:spacing w:after="0" w:line="244" w:lineRule="auto"/>
        <w:rPr>
          <w:sz w:val="20"/>
          <w:szCs w:val="20"/>
          <w:color w:val="auto"/>
        </w:rPr>
      </w:pPr>
      <w:r>
        <w:rPr>
          <w:rFonts w:ascii="Times New Roman" w:cs="Times New Roman" w:eastAsia="Times New Roman" w:hAnsi="Times New Roman"/>
          <w:sz w:val="21"/>
          <w:szCs w:val="21"/>
          <w:color w:val="auto"/>
        </w:rPr>
        <w:t>Item 2(a) is hereby amended and restated in full. This Schedule 13D is being filed by: SGF FANG Holdings, LP, a Delaware limited partnership; Mrs. Stephens Greth, a United States citizen; the Autry Stephens Management Trust, a Texas trust; ACS Capital Management, LLC, a Delaware limited liability company; ACS Capital Holdings, LP, a Texas limited partnership; Endeavor Manager, LLC, a Texas limited liability company; the Stephens Family Trust, a Delaware trust; the Stephens Family Trust #2, a Delaware trust; SFT Management, LLC, a Delaware limited liability company; SFT 1 Holdings, LLC, a Delaware limited liability company; and SFT 2 Holdings, LLC, a Delaware limited liability company (collectively, the "Reporting Persons"). On August 13, 2025, in connection with an internal reorganization among entities controlled by Mrs. Stephens Greth that streamlined Mrs. Stephens Greth's share</w:t>
      </w:r>
    </w:p>
    <w:p>
      <w:pPr>
        <w:spacing w:after="0" w:line="4" w:lineRule="exact"/>
        <w:rPr>
          <w:sz w:val="20"/>
          <w:szCs w:val="20"/>
          <w:color w:val="auto"/>
        </w:rPr>
      </w:pPr>
    </w:p>
    <w:p>
      <w:pPr>
        <w:ind w:left="960" w:right="120" w:hanging="912"/>
        <w:spacing w:after="0" w:line="211" w:lineRule="auto"/>
        <w:tabs>
          <w:tab w:leader="none" w:pos="960" w:val="left"/>
        </w:tabs>
        <w:numPr>
          <w:ilvl w:val="0"/>
          <w:numId w:val="2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ownership structure (the "Reorganization"), SGF FANG Holdings, LP became the record holder of 101,686,727 shares of Company Common Stock. The Reorganization solely changes the form of ownership of the ultimate beneficial owner, and Mrs. Stephens Greth remains the ultimate beneficial owner of the shares. The Autry Stephens Management Trust, ACS Capital Management, LLC, ACS Capital Holdings, LP and Endeavor Manager, LLC no longer beneficially own any shares of Company Common Stock following the Reorganization. Accordingly, they have exited the Section 13(d) reporting scheme and will no longer be Reporting Persons on this Schedule 13D going forward. The Stephens Family Trust, the Stephens Family Trust #2, SFT 1 Holdings, LLC, SFT 2 Holdings, LLC and SFT Management, LLC are not the record holders or the ultimate beneficial owners of any shares of Company Common Stock. Accordingly, they have exited the Section 13(d) reporting scheme and will no longer be Reporting Persons on this Schedule 13D going forward.</w:t>
      </w:r>
    </w:p>
    <w:p>
      <w:pPr>
        <w:spacing w:after="0" w:line="23" w:lineRule="exact"/>
        <w:rPr>
          <w:rFonts w:ascii="Times New Roman" w:cs="Times New Roman" w:eastAsia="Times New Roman" w:hAnsi="Times New Roman"/>
          <w:sz w:val="43"/>
          <w:szCs w:val="43"/>
          <w:color w:val="auto"/>
          <w:vertAlign w:val="subscript"/>
        </w:rPr>
      </w:pPr>
    </w:p>
    <w:p>
      <w:pPr>
        <w:ind w:left="960" w:right="300" w:hanging="912"/>
        <w:spacing w:after="0" w:line="185" w:lineRule="auto"/>
        <w:tabs>
          <w:tab w:leader="none" w:pos="960" w:val="left"/>
        </w:tabs>
        <w:numPr>
          <w:ilvl w:val="0"/>
          <w:numId w:val="2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2(b) is hereby amended and restated in full. The principal business address of each of the Reporting Persons is 8111 Douglas Avenue, Suite 1200, Dallas, Texas 75225.</w:t>
      </w:r>
    </w:p>
    <w:p>
      <w:pPr>
        <w:spacing w:after="0" w:line="17" w:lineRule="exact"/>
        <w:rPr>
          <w:rFonts w:ascii="Times New Roman" w:cs="Times New Roman" w:eastAsia="Times New Roman" w:hAnsi="Times New Roman"/>
          <w:sz w:val="39"/>
          <w:szCs w:val="39"/>
          <w:color w:val="auto"/>
          <w:vertAlign w:val="subscript"/>
        </w:rPr>
      </w:pPr>
    </w:p>
    <w:p>
      <w:pPr>
        <w:ind w:left="960" w:right="80" w:hanging="912"/>
        <w:spacing w:after="0" w:line="282" w:lineRule="auto"/>
        <w:tabs>
          <w:tab w:leader="none" w:pos="9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2(c) is hereby amended and restated in full. Mrs. Stephens Greth is the ultimate beneficial owner of the shares of Company Common Stock held of record by SGF FANG Holdings, LP and indirectly controls SGF Capital, LLC, its</w:t>
      </w:r>
    </w:p>
    <w:p>
      <w:pPr>
        <w:sectPr>
          <w:pgSz w:w="11900" w:h="16838" w:orient="portrait"/>
          <w:cols w:equalWidth="0" w:num="1">
            <w:col w:w="11240"/>
          </w:cols>
          <w:pgMar w:left="320" w:top="112" w:right="339" w:bottom="0" w:gutter="0" w:footer="0" w:header="0"/>
          <w:type w:val="continuous"/>
        </w:sectPr>
      </w:pPr>
    </w:p>
    <w:bookmarkStart w:id="11" w:name="page12"/>
    <w:bookmarkEnd w:id="11"/>
    <w:p>
      <w:pPr>
        <w:ind w:left="920"/>
        <w:spacing w:after="0"/>
        <w:rPr>
          <w:sz w:val="20"/>
          <w:szCs w:val="20"/>
          <w:color w:val="auto"/>
        </w:rPr>
      </w:pPr>
      <w:r>
        <w:rPr>
          <w:rFonts w:ascii="Times New Roman" w:cs="Times New Roman" w:eastAsia="Times New Roman" w:hAnsi="Times New Roman"/>
          <w:sz w:val="22"/>
          <w:szCs w:val="22"/>
          <w:color w:val="auto"/>
        </w:rPr>
        <w:t>general partner.</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35" w:lineRule="auto"/>
        <w:rPr>
          <w:sz w:val="20"/>
          <w:szCs w:val="20"/>
          <w:color w:val="auto"/>
        </w:rPr>
      </w:pPr>
      <w:r>
        <w:rPr>
          <w:rFonts w:ascii="Times New Roman" w:cs="Times New Roman" w:eastAsia="Times New Roman" w:hAnsi="Times New Roman"/>
          <w:sz w:val="22"/>
          <w:szCs w:val="22"/>
          <w:color w:val="auto"/>
        </w:rPr>
        <w:t>Item 4 is hereby amended to delete the third paragraph in full and replace it with the following: The Endeavor Stockholders have nominated four directors to the Company's board of directors, in accordance with their rights under the Stockholders Agreement. Item 4 is hereby further amended and supplemented to add the following: On August 13, 2025, in connection with the Reorganization, SGF FANG Holdings, LP became the record holder of 101,686,727 shares of Company Common Stock. Mrs. Stephens Greth remains the ultimate beneficial owner of the shares of Company Common Stock, and the Reorganization results in no change in her beneficial ownership. Rather, it is a change in the form of beneficial ownership.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2(a) is incorporated by reference herein.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54" w:lineRule="auto"/>
        <w:rPr>
          <w:sz w:val="20"/>
          <w:szCs w:val="20"/>
          <w:color w:val="auto"/>
        </w:rPr>
      </w:pPr>
      <w:r>
        <w:rPr>
          <w:rFonts w:ascii="Times New Roman" w:cs="Times New Roman" w:eastAsia="Times New Roman" w:hAnsi="Times New Roman"/>
          <w:sz w:val="21"/>
          <w:szCs w:val="21"/>
          <w:color w:val="auto"/>
        </w:rPr>
        <w:t>Item 6 is hereby amended and supplemented to add the following: On August 13, 2025, as part of the Reorganization, SGF FANG Holdings, LP became the record holder of 101,686,727 shares of Company Common Stock. The Reorganization involved transfers of shares of Company Common Stock between entities under the common control of Mrs. Stephens Greth. Mrs. Stephens Greth remains the ultimate beneficial owner of the shares. See Rule 16a-13.</w:t>
      </w:r>
    </w:p>
    <w:p>
      <w:pPr>
        <w:spacing w:after="0" w:line="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580"/>
        <w:spacing w:after="0" w:line="258" w:lineRule="auto"/>
        <w:rPr>
          <w:sz w:val="20"/>
          <w:szCs w:val="20"/>
          <w:color w:val="auto"/>
        </w:rPr>
      </w:pPr>
      <w:r>
        <w:rPr>
          <w:rFonts w:ascii="Times New Roman" w:cs="Times New Roman" w:eastAsia="Times New Roman" w:hAnsi="Times New Roman"/>
          <w:sz w:val="22"/>
          <w:szCs w:val="22"/>
          <w:color w:val="auto"/>
        </w:rPr>
        <w:t>Item 7 is hereby amended by adding the following: 99.1 Joint Filing Agreement (filed herewith). 99.2 Power of Attorney (filed herewith).</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SGF FANG Holdings,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SGF Capital, LLC, its general partner /s/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Kevin T. Keen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Kevin T. Keen/Attorney-in-fact</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Greth Lyndal</w:t>
      </w:r>
    </w:p>
    <w:p>
      <w:pPr>
        <w:spacing w:after="0" w:line="152"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 Keen</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Kevin T. Keen/Attorney-in-fact</w:t>
      </w:r>
    </w:p>
    <w:p>
      <w:pPr>
        <w:spacing w:after="0" w:line="44"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Autry Stephens Management Trust</w:t>
      </w:r>
    </w:p>
    <w:p>
      <w:pPr>
        <w:spacing w:after="0" w:line="152"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 Keen</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Kevin T. Keen/Attorney-in-fact</w:t>
      </w:r>
    </w:p>
    <w:p>
      <w:pPr>
        <w:spacing w:after="0" w:line="44"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ACS Capital Management, LLC</w:t>
      </w:r>
    </w:p>
    <w:p>
      <w:pPr>
        <w:spacing w:after="0" w:line="152"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 Keen</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Kevin T. Keen/Attorney-in-fact</w:t>
      </w:r>
    </w:p>
    <w:p>
      <w:pPr>
        <w:spacing w:after="0" w:line="44"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ACS Capital Holdings,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ACS Capital Management,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/s/ Kevin T. Keen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Kevin T. Keen/Attorney-in-fact</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Endeavor Manager, LLC</w:t>
      </w:r>
    </w:p>
    <w:p>
      <w:pPr>
        <w:spacing w:after="0" w:line="152"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 Keen</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Kevin T. Keen/Attorney-in-fact</w:t>
      </w:r>
    </w:p>
    <w:p>
      <w:pPr>
        <w:spacing w:after="0" w:line="44"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Stephens Family Trust</w:t>
      </w:r>
    </w:p>
    <w:p>
      <w:pPr>
        <w:spacing w:after="0" w:line="152"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 Keen</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Kevin T. Keen/Attorney-in-fact</w:t>
      </w:r>
    </w:p>
    <w:p>
      <w:pPr>
        <w:sectPr>
          <w:pgSz w:w="11900" w:h="16838" w:orient="portrait"/>
          <w:cols w:equalWidth="0" w:num="1">
            <w:col w:w="11140"/>
          </w:cols>
          <w:pgMar w:left="360" w:top="112" w:right="399" w:bottom="0" w:gutter="0" w:footer="0" w:header="0"/>
        </w:sectPr>
      </w:pPr>
    </w:p>
    <w:bookmarkStart w:id="12" w:name="page13"/>
    <w:bookmarkEnd w:id="12"/>
    <w:p>
      <w:pPr>
        <w:ind w:left="29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08/15/2025</w:t>
      </w:r>
    </w:p>
    <w:p>
      <w:pPr>
        <w:spacing w:after="0" w:line="164" w:lineRule="exact"/>
        <w:rPr>
          <w:sz w:val="20"/>
          <w:szCs w:val="20"/>
          <w:color w:val="auto"/>
        </w:rPr>
      </w:pPr>
    </w:p>
    <w:p>
      <w:pPr>
        <w:sectPr>
          <w:pgSz w:w="11900" w:h="16838" w:orient="portrait"/>
          <w:cols w:equalWidth="0" w:num="2">
            <w:col w:w="3400" w:space="620"/>
            <w:col w:w="4999"/>
          </w:cols>
          <w:pgMar w:left="1440" w:top="112" w:right="1440" w:bottom="1440" w:gutter="0" w:footer="0" w:header="0"/>
        </w:sectPr>
      </w:pPr>
    </w:p>
    <w:p>
      <w:pPr>
        <w:ind w:left="1340"/>
        <w:spacing w:after="0"/>
        <w:rPr>
          <w:sz w:val="20"/>
          <w:szCs w:val="20"/>
          <w:color w:val="auto"/>
        </w:rPr>
      </w:pPr>
      <w:r>
        <w:rPr>
          <w:rFonts w:ascii="Times New Roman" w:cs="Times New Roman" w:eastAsia="Times New Roman" w:hAnsi="Times New Roman"/>
          <w:sz w:val="22"/>
          <w:szCs w:val="22"/>
          <w:color w:val="auto"/>
        </w:rPr>
        <w:t>Stephens Family Trust #2</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 Keen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Name/Title: Kevin T. Keen/Attorney-in-fact</w:t>
      </w:r>
    </w:p>
    <w:p>
      <w:pPr>
        <w:spacing w:after="0" w:line="56"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SFT Management, LLC</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 Keen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Name/Title: Kevin T. Keen/Attorney-in-fact</w:t>
      </w:r>
    </w:p>
    <w:p>
      <w:pPr>
        <w:spacing w:after="0" w:line="56"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SFT 1 Holdings, LLC</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 Keen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Name/Title: Kevin T. Keen/Attorney-in-fact</w:t>
      </w:r>
    </w:p>
    <w:p>
      <w:pPr>
        <w:spacing w:after="0" w:line="56"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SFT 2 Holdings, LLC</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 Keen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Name/Title: Kevin T. Keen/Attorney-in-fact</w:t>
      </w:r>
    </w:p>
    <w:p>
      <w:pPr>
        <w:spacing w:after="0" w:line="56"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08/15/2025</w:t>
      </w:r>
    </w:p>
    <w:p>
      <w:pPr>
        <w:sectPr>
          <w:pgSz w:w="11900" w:h="16838" w:orient="portrait"/>
          <w:cols w:equalWidth="0" w:num="1">
            <w:col w:w="9019"/>
          </w:cols>
          <w:pgMar w:left="1440" w:top="112" w:right="1440"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ACQUISITION STATEMENT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15, 2025</w:t>
      </w:r>
    </w:p>
    <w:p>
      <w:pPr>
        <w:spacing w:after="0" w:line="2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SGF FANG HOLDINGS, LP</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LYNDAL STEPHENS GRETH</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Kevin T. Keen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9173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Kevin T. Keen</w:t>
      </w:r>
    </w:p>
    <w:p>
      <w:pPr>
        <w:spacing w:after="0" w:line="27"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undersigned hereby constitutes and appoints Kevin T. Keen the lawful attorney-in-fact and agent with full power and authority to execute and file on the undersigned’s behalf, any and all instruments including Forms 3, 4 and 5, and Schedules 13D and 13G (collectively, the “Filings”), and any amendments, supplements or successor forms thereto pursuant to the Securities Exchange Act of 1934, as amended (the “Exchange Act”), and any rules or regulations or requirements of the Securities and Exchange Commission in connection with the undersigned’s reporting obligations with respect to securities of Diamondback Energy, Inc., a Delaware corporation, pursuant to Section 13(d) of the Exchange Act and Section 16(b) of the Exchange Act.</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authority of such attorney-in-fact shall continue until the undersigned is no longer required to file any of the Filings, unless earlier revoked in writing. The undersigned hereby ratifies, confirms and approves in all respects all Filings (including amendments thereto) and actions taken by the attorney-in-fact relating to such Filings.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the attorney-in-fact is not assuming any of the undersigned’s responsibilities to comply with Section 13 or Section 16 of the Exchange Act.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WITNESS WHEREOF, the undersigned, in her individual capacity and in her capacity as an authorized signatory of each of the entities listed below, has executed and delivered this Power of Attorney on her own behalf and on behalf of each such entity, with such single execution constituting the valid and binding act of the undersigned individually and of each entity, as of the date indicated.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2025</w:t>
      </w:r>
    </w:p>
    <w:p>
      <w:pPr>
        <w:spacing w:after="0" w:line="2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STEPHENS FAMILY TRUST</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SFT 1 HOLDINGS, LLC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SFT 2 HOLDINGS, LLC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SGF FANG HOLDINGS, LP</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SGF CAPITAL, LLC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LYNDAL STEPHENS GRETH</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AUTRY STEPHENS MANAGEMENT TRUST</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STEPHENS FAMILY TRUST #2</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ACS CAPITAL MANAGEMENT, LLC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ACS CAPITAL HOLDINGS, LP</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ENDEAVOR MANAGER, LLC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SFT MANAGEMENT,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Lyndal Stephens Greth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9173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Lyndal Stephens Greth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2"/>
      <w:numFmt w:val="bullet"/>
      <w:start w:val="1"/>
    </w:lvl>
  </w:abstractNum>
  <w:abstractNum w:abstractNumId="1">
    <w:nsid w:val="109CF92E"/>
    <w:multiLevelType w:val="hybridMultilevel"/>
    <w:lvl w:ilvl="0">
      <w:lvlJc w:val="left"/>
      <w:lvlText w:val="3"/>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5"/>
      <w:numFmt w:val="bullet"/>
      <w:start w:val="1"/>
    </w:lvl>
  </w:abstractNum>
  <w:abstractNum w:abstractNumId="5">
    <w:nsid w:val="41A7C4C9"/>
    <w:multiLevelType w:val="hybridMultilevel"/>
    <w:lvl w:ilvl="0">
      <w:lvlJc w:val="left"/>
      <w:lvlText w:val="2"/>
      <w:numFmt w:val="bullet"/>
      <w:start w:val="1"/>
    </w:lvl>
  </w:abstractNum>
  <w:abstractNum w:abstractNumId="6">
    <w:nsid w:val="6B68079A"/>
    <w:multiLevelType w:val="hybridMultilevel"/>
    <w:lvl w:ilvl="0">
      <w:lvlJc w:val="left"/>
      <w:lvlText w:val="3"/>
      <w:numFmt w:val="bullet"/>
      <w:start w:val="1"/>
    </w:lvl>
  </w:abstractNum>
  <w:abstractNum w:abstractNumId="7">
    <w:nsid w:val="4E6AFB66"/>
    <w:multiLevelType w:val="hybridMultilevel"/>
    <w:lvl w:ilvl="0">
      <w:lvlJc w:val="left"/>
      <w:lvlText w:val="2"/>
      <w:numFmt w:val="bullet"/>
      <w:start w:val="1"/>
    </w:lvl>
  </w:abstractNum>
  <w:abstractNum w:abstractNumId="8">
    <w:nsid w:val="25E45D32"/>
    <w:multiLevelType w:val="hybridMultilevel"/>
    <w:lvl w:ilvl="0">
      <w:lvlJc w:val="left"/>
      <w:lvlText w:val="%1"/>
      <w:numFmt w:val="decimal"/>
      <w:start w:val="11"/>
    </w:lvl>
  </w:abstractNum>
  <w:abstractNum w:abstractNumId="9">
    <w:nsid w:val="519B500D"/>
    <w:multiLevelType w:val="hybridMultilevel"/>
    <w:lvl w:ilvl="0">
      <w:lvlJc w:val="left"/>
      <w:lvlText w:val="2"/>
      <w:numFmt w:val="bullet"/>
      <w:start w:val="1"/>
    </w:lvl>
  </w:abstractNum>
  <w:abstractNum w:abstractNumId="10">
    <w:nsid w:val="431BD7B7"/>
    <w:multiLevelType w:val="hybridMultilevel"/>
    <w:lvl w:ilvl="0">
      <w:lvlJc w:val="left"/>
      <w:lvlText w:val="2"/>
      <w:numFmt w:val="bullet"/>
      <w:start w:val="1"/>
    </w:lvl>
  </w:abstractNum>
  <w:abstractNum w:abstractNumId="11">
    <w:nsid w:val="3F2DBA31"/>
    <w:multiLevelType w:val="hybridMultilevel"/>
    <w:lvl w:ilvl="0">
      <w:lvlJc w:val="left"/>
      <w:lvlText w:val="3"/>
      <w:numFmt w:val="bullet"/>
      <w:start w:val="1"/>
    </w:lvl>
  </w:abstractNum>
  <w:abstractNum w:abstractNumId="12">
    <w:nsid w:val="7C83E458"/>
    <w:multiLevelType w:val="hybridMultilevel"/>
    <w:lvl w:ilvl="0">
      <w:lvlJc w:val="left"/>
      <w:lvlText w:val="2"/>
      <w:numFmt w:val="bullet"/>
      <w:start w:val="1"/>
    </w:lvl>
  </w:abstractNum>
  <w:abstractNum w:abstractNumId="13">
    <w:nsid w:val="257130A3"/>
    <w:multiLevelType w:val="hybridMultilevel"/>
    <w:lvl w:ilvl="0">
      <w:lvlJc w:val="left"/>
      <w:lvlText w:val="3"/>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2"/>
      <w:numFmt w:val="bullet"/>
      <w:start w:val="1"/>
    </w:lvl>
  </w:abstractNum>
  <w:abstractNum w:abstractNumId="17">
    <w:nsid w:val="333AB105"/>
    <w:multiLevelType w:val="hybridMultilevel"/>
    <w:lvl w:ilvl="0">
      <w:lvlJc w:val="left"/>
      <w:lvlText w:val="3"/>
      <w:numFmt w:val="bullet"/>
      <w:start w:val="1"/>
    </w:lvl>
  </w:abstractNum>
  <w:abstractNum w:abstractNumId="18">
    <w:nsid w:val="721DA317"/>
    <w:multiLevelType w:val="hybridMultilevel"/>
    <w:lvl w:ilvl="0">
      <w:lvlJc w:val="left"/>
      <w:lvlText w:val="2"/>
      <w:numFmt w:val="bullet"/>
      <w:start w:val="1"/>
    </w:lvl>
  </w:abstractNum>
  <w:abstractNum w:abstractNumId="19">
    <w:nsid w:val="2443A858"/>
    <w:multiLevelType w:val="hybridMultilevel"/>
    <w:lvl w:ilvl="0">
      <w:lvlJc w:val="left"/>
      <w:lvlText w:val="3"/>
      <w:numFmt w:val="bullet"/>
      <w:start w:val="1"/>
    </w:lvl>
  </w:abstractNum>
  <w:abstractNum w:abstractNumId="20">
    <w:nsid w:val="2D1D5AE9"/>
    <w:multiLevelType w:val="hybridMultilevel"/>
    <w:lvl w:ilvl="0">
      <w:lvlJc w:val="left"/>
      <w:lvlText w:val="6"/>
      <w:numFmt w:val="bullet"/>
      <w:start w:val="1"/>
    </w:lvl>
  </w:abstractNum>
  <w:abstractNum w:abstractNumId="21">
    <w:nsid w:val="6763845E"/>
    <w:multiLevelType w:val="hybridMultilevel"/>
    <w:lvl w:ilvl="0">
      <w:lvlJc w:val="left"/>
      <w:lvlText w:val="2"/>
      <w:numFmt w:val="bullet"/>
      <w:start w:val="1"/>
    </w:lvl>
  </w:abstractNum>
  <w:abstractNum w:abstractNumId="22">
    <w:nsid w:val="75A2A8D4"/>
    <w:multiLevelType w:val="hybridMultilevel"/>
    <w:lvl w:ilvl="0">
      <w:lvlJc w:val="left"/>
      <w:lvlText w:val="3"/>
      <w:numFmt w:val="bullet"/>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2025-08-15T18:52:26Z</dcterms:created>
  <dcterms:modified xsi:type="dcterms:W3CDTF">2025-08-15T18:52:26Z</dcterms:modified>
</cp:coreProperties>
</file>