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880" w:type="dxa"/>
        <w:tblCellMar>
          <w:top w:w="0" w:type="dxa"/>
          <w:left w:w="0" w:type="dxa"/>
          <w:bottom w:w="0" w:type="dxa"/>
          <w:right w:w="0" w:type="dxa"/>
        </w:tblCellMar>
      </w:tblPr>
      <w:tr>
        <w:trPr>
          <w:trHeight w:val="291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information in this preliminary prospectus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sell the securities described herein and are</w:t>
            </w:r>
          </w:p>
        </w:tc>
      </w:tr>
      <w:tr>
        <w:trPr>
          <w:trHeight w:val="54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but the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w:t>
            </w:r>
          </w:p>
        </w:tc>
      </w:tr>
      <w:tr>
        <w:trPr>
          <w:trHeight w:val="71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amended,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are not an</w:t>
            </w:r>
          </w:p>
        </w:tc>
      </w:tr>
      <w:tr>
        <w:trPr>
          <w:trHeight w:val="852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preliminary prospectus supplement relates to an effective registration statement under the Securities Act of 1933, as</w:t>
            </w:r>
          </w:p>
        </w:tc>
        <w:tc>
          <w:tcPr>
            <w:tcW w:w="320" w:type="dxa"/>
            <w:vAlign w:val="bottom"/>
            <w:textDirection w:val="btLr"/>
          </w:tcPr>
          <w:p>
            <w:pPr>
              <w:ind w:left="194"/>
              <w:spacing w:after="0"/>
              <w:rPr>
                <w:sz w:val="20"/>
                <w:szCs w:val="20"/>
                <w:color w:val="auto"/>
              </w:rPr>
            </w:pPr>
            <w:r>
              <w:rPr>
                <w:rFonts w:ascii="Arial" w:cs="Arial" w:eastAsia="Arial" w:hAnsi="Arial"/>
                <w:sz w:val="11"/>
                <w:szCs w:val="11"/>
                <w:b w:val="1"/>
                <w:bCs w:val="1"/>
                <w:color w:val="FC0014"/>
                <w:w w:val="73"/>
              </w:rPr>
              <w:t>supplement is not complete and may be changed. This preliminary prospectus supplement and the accompanying prospectusnotsolicitinganoffertobuysuchsecuritiesinanyjurisdictionwheresuchofferorsaleisnotpermitted.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5"/>
          <w:szCs w:val="15"/>
          <w:b w:val="1"/>
          <w:bCs w:val="1"/>
          <w:color w:val="auto"/>
        </w:rPr>
        <w:t> Filed Pursuant to Rule 424(b)(5)​</w:t>
      </w:r>
    </w:p>
    <w:p>
      <w:pPr>
        <w:spacing w:after="0" w:line="10"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5"/>
          <w:szCs w:val="15"/>
          <w:b w:val="1"/>
          <w:bCs w:val="1"/>
          <w:color w:val="auto"/>
        </w:rPr>
        <w:t> Registration File No. 333-268495​</w:t>
      </w:r>
    </w:p>
    <w:p>
      <w:pPr>
        <w:spacing w:after="0" w:line="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FC0014"/>
        </w:rPr>
        <w:t>SUBJECT TO COMPLETION, DATED NOVEMBER 29, 2022</w:t>
      </w:r>
    </w:p>
    <w:p>
      <w:pPr>
        <w:spacing w:after="0" w:line="102" w:lineRule="exact"/>
        <w:rPr>
          <w:sz w:val="24"/>
          <w:szCs w:val="24"/>
          <w:color w:val="auto"/>
        </w:rPr>
      </w:pPr>
    </w:p>
    <w:p>
      <w:pPr>
        <w:jc w:val="center"/>
        <w:ind w:right="99"/>
        <w:spacing w:after="0"/>
        <w:tabs>
          <w:tab w:leader="none" w:pos="100" w:val="left"/>
          <w:tab w:leader="none" w:pos="120" w:val="left"/>
        </w:tabs>
        <w:rPr>
          <w:sz w:val="20"/>
          <w:szCs w:val="20"/>
          <w:color w:val="auto"/>
        </w:rPr>
      </w:pPr>
      <w:r>
        <w:rPr>
          <w:rFonts w:ascii="Times New Roman" w:cs="Times New Roman" w:eastAsia="Times New Roman" w:hAnsi="Times New Roman"/>
          <w:sz w:val="16"/>
          <w:szCs w:val="16"/>
          <w:u w:val="single" w:color="auto"/>
          <w:color w:val="auto"/>
        </w:rPr>
        <w:t>P  R  E  L  I  M  I  N  A  R  Y</w:t>
        <w:tab/>
        <w:t>P  R  O  S  P  E  C  T  U  S</w:t>
      </w:r>
      <w:r>
        <w:rPr>
          <w:sz w:val="20"/>
          <w:szCs w:val="20"/>
          <w:color w:val="auto"/>
        </w:rPr>
        <w:tab/>
      </w:r>
      <w:r>
        <w:rPr>
          <w:rFonts w:ascii="Times New Roman" w:cs="Times New Roman" w:eastAsia="Times New Roman" w:hAnsi="Times New Roman"/>
          <w:sz w:val="13"/>
          <w:szCs w:val="13"/>
          <w:u w:val="single" w:color="auto"/>
          <w:color w:val="auto"/>
        </w:rPr>
        <w:t>S  U  P  P  L  E  M  E  N  T</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(to Prospectus dated 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1236980</wp:posOffset>
            </wp:positionH>
            <wp:positionV relativeFrom="paragraph">
              <wp:posOffset>86360</wp:posOffset>
            </wp:positionV>
            <wp:extent cx="2743200"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Diamondback Energy, Inc.</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3"/>
          <w:szCs w:val="23"/>
          <w:b w:val="1"/>
          <w:bCs w:val="1"/>
          <w:color w:val="auto"/>
        </w:rPr>
        <w:t>$        % Senior Notes due 2053</w:t>
      </w:r>
    </w:p>
    <w:p>
      <w:pPr>
        <w:spacing w:after="0" w:line="12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offering $            aggregate principal amount of our        % Senior Notes due 2053 (the “notes”).</w:t>
      </w:r>
    </w:p>
    <w:p>
      <w:pPr>
        <w:spacing w:after="0" w:line="100" w:lineRule="exact"/>
        <w:rPr>
          <w:sz w:val="24"/>
          <w:szCs w:val="24"/>
          <w:color w:val="auto"/>
        </w:rPr>
      </w:pPr>
    </w:p>
    <w:p>
      <w:pPr>
        <w:ind w:right="119" w:firstLine="360"/>
        <w:spacing w:after="0" w:line="231" w:lineRule="auto"/>
        <w:rPr>
          <w:sz w:val="20"/>
          <w:szCs w:val="20"/>
          <w:color w:val="auto"/>
        </w:rPr>
      </w:pPr>
      <w:r>
        <w:rPr>
          <w:rFonts w:ascii="Times New Roman" w:cs="Times New Roman" w:eastAsia="Times New Roman" w:hAnsi="Times New Roman"/>
          <w:sz w:val="16"/>
          <w:szCs w:val="16"/>
          <w:color w:val="auto"/>
        </w:rPr>
        <w:t xml:space="preserve">The notes will mature on March 15, 2053. Interest on the notes will accrue from                               , 2022, and will be payable in cash semi-annually on                               and                               of each year, beginning                      </w:t>
      </w:r>
    </w:p>
    <w:p>
      <w:pPr>
        <w:spacing w:after="0" w:line="1" w:lineRule="exact"/>
        <w:rPr>
          <w:sz w:val="24"/>
          <w:szCs w:val="24"/>
          <w:color w:val="auto"/>
        </w:rPr>
      </w:pPr>
    </w:p>
    <w:p>
      <w:pPr>
        <w:ind w:right="139" w:firstLine="4"/>
        <w:spacing w:after="0" w:line="257" w:lineRule="auto"/>
        <w:tabs>
          <w:tab w:leader="none" w:pos="84"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 2023. The notes will be issued in minimum denominations of $2,000 and integral multiples of $1,000 in excess of $2,000. We may redeem all or a part of the notes at any time at the redemption prices described under “Description of Notes — Optional Redemption.”</w:t>
      </w:r>
    </w:p>
    <w:p>
      <w:pPr>
        <w:spacing w:after="0" w:line="49" w:lineRule="exact"/>
        <w:rPr>
          <w:sz w:val="24"/>
          <w:szCs w:val="24"/>
          <w:color w:val="auto"/>
        </w:rPr>
      </w:pPr>
    </w:p>
    <w:p>
      <w:pPr>
        <w:ind w:right="119" w:firstLine="360"/>
        <w:spacing w:after="0"/>
        <w:rPr>
          <w:sz w:val="20"/>
          <w:szCs w:val="20"/>
          <w:color w:val="auto"/>
        </w:rPr>
      </w:pPr>
      <w:r>
        <w:rPr>
          <w:rFonts w:ascii="Times New Roman" w:cs="Times New Roman" w:eastAsia="Times New Roman" w:hAnsi="Times New Roman"/>
          <w:sz w:val="16"/>
          <w:szCs w:val="16"/>
          <w:color w:val="auto"/>
        </w:rPr>
        <w:t>The notes will be our general unsecured senior obligations and will rank equally in right of payment with all of our existing and future senior indebtedness, including our outstanding senior notes and our guarantee of the obligations of</w:t>
      </w:r>
    </w:p>
    <w:p>
      <w:pPr>
        <w:spacing w:after="0" w:line="1" w:lineRule="exact"/>
        <w:rPr>
          <w:sz w:val="24"/>
          <w:szCs w:val="24"/>
          <w:color w:val="auto"/>
        </w:rPr>
      </w:pPr>
    </w:p>
    <w:p>
      <w:pPr>
        <w:ind w:right="679"/>
        <w:spacing w:after="0" w:line="220" w:lineRule="auto"/>
        <w:rPr>
          <w:sz w:val="20"/>
          <w:szCs w:val="20"/>
          <w:color w:val="auto"/>
        </w:rPr>
      </w:pPr>
      <w:r>
        <w:rPr>
          <w:rFonts w:ascii="Times New Roman" w:cs="Times New Roman" w:eastAsia="Times New Roman" w:hAnsi="Times New Roman"/>
          <w:sz w:val="16"/>
          <w:szCs w:val="16"/>
          <w:color w:val="auto"/>
        </w:rPr>
        <w:t>our wholly owned subsidiary, Diamondback E&amp;P LLC, under the revolving credit facility, and senior in right of payment to all of our future indebtedness that is subordinated in right of payment to the notes. The notes will be</w:t>
      </w:r>
    </w:p>
    <w:p>
      <w:pPr>
        <w:spacing w:after="0" w:line="229" w:lineRule="auto"/>
        <w:rPr>
          <w:sz w:val="20"/>
          <w:szCs w:val="20"/>
          <w:color w:val="auto"/>
        </w:rPr>
      </w:pPr>
      <w:r>
        <w:rPr>
          <w:rFonts w:ascii="Times New Roman" w:cs="Times New Roman" w:eastAsia="Times New Roman" w:hAnsi="Times New Roman"/>
          <w:sz w:val="16"/>
          <w:szCs w:val="16"/>
          <w:color w:val="auto"/>
        </w:rPr>
        <w:t>effectively subordinated to any of our and Diamondback E&amp;P LLC’s existing and future secured indebtedness, if any, to</w:t>
      </w:r>
    </w:p>
    <w:p>
      <w:pPr>
        <w:ind w:right="239"/>
        <w:spacing w:after="0" w:line="220" w:lineRule="auto"/>
        <w:rPr>
          <w:sz w:val="20"/>
          <w:szCs w:val="20"/>
          <w:color w:val="auto"/>
        </w:rPr>
      </w:pPr>
      <w:r>
        <w:rPr>
          <w:rFonts w:ascii="Times New Roman" w:cs="Times New Roman" w:eastAsia="Times New Roman" w:hAnsi="Times New Roman"/>
          <w:sz w:val="16"/>
          <w:szCs w:val="16"/>
          <w:color w:val="auto"/>
        </w:rPr>
        <w:t>the extent of the value of the collateral securing such indebtedness; and will be structurally subordinated to all of the existing and future indebtedness and other liabilities (including trade payables) of each of our subsidiaries that is not a</w:t>
      </w:r>
    </w:p>
    <w:p>
      <w:pPr>
        <w:spacing w:after="0" w:line="229" w:lineRule="auto"/>
        <w:rPr>
          <w:sz w:val="20"/>
          <w:szCs w:val="20"/>
          <w:color w:val="auto"/>
        </w:rPr>
      </w:pPr>
      <w:r>
        <w:rPr>
          <w:rFonts w:ascii="Times New Roman" w:cs="Times New Roman" w:eastAsia="Times New Roman" w:hAnsi="Times New Roman"/>
          <w:sz w:val="16"/>
          <w:szCs w:val="16"/>
          <w:color w:val="auto"/>
        </w:rPr>
        <w:t>guarantor of the notes. The obligations under the notes will be fully and unconditionally guaranteed on a senior</w:t>
      </w:r>
    </w:p>
    <w:p>
      <w:pPr>
        <w:ind w:right="119"/>
        <w:spacing w:after="0" w:line="231" w:lineRule="auto"/>
        <w:rPr>
          <w:sz w:val="20"/>
          <w:szCs w:val="20"/>
          <w:color w:val="auto"/>
        </w:rPr>
      </w:pPr>
      <w:r>
        <w:rPr>
          <w:rFonts w:ascii="Times New Roman" w:cs="Times New Roman" w:eastAsia="Times New Roman" w:hAnsi="Times New Roman"/>
          <w:sz w:val="16"/>
          <w:szCs w:val="16"/>
          <w:color w:val="auto"/>
        </w:rPr>
        <w:t>unsecured basis by Diamondback E&amp;P LLC, except that in the future the guarantee may be released or terminated under certain circumstances. See “Description of Notes — Subsidiary Guarantee.”</w:t>
      </w:r>
    </w:p>
    <w:p>
      <w:pPr>
        <w:spacing w:after="0" w:line="7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Investing in our notes involves risks. You should read this prospectus supplement and the accompanying prospectus</w:t>
      </w:r>
    </w:p>
    <w:p>
      <w:pPr>
        <w:spacing w:after="0" w:line="23" w:lineRule="exact"/>
        <w:rPr>
          <w:sz w:val="24"/>
          <w:szCs w:val="24"/>
          <w:color w:val="auto"/>
        </w:rPr>
      </w:pPr>
    </w:p>
    <w:p>
      <w:pPr>
        <w:ind w:right="259"/>
        <w:spacing w:after="0" w:line="231" w:lineRule="auto"/>
        <w:rPr>
          <w:sz w:val="20"/>
          <w:szCs w:val="20"/>
          <w:color w:val="auto"/>
        </w:rPr>
      </w:pPr>
      <w:r>
        <w:rPr>
          <w:rFonts w:ascii="Times New Roman" w:cs="Times New Roman" w:eastAsia="Times New Roman" w:hAnsi="Times New Roman"/>
          <w:sz w:val="16"/>
          <w:szCs w:val="16"/>
          <w:b w:val="1"/>
          <w:bCs w:val="1"/>
          <w:color w:val="auto"/>
        </w:rPr>
        <w:t xml:space="preserve">carefully before you invest in our notes. See “Risk Factors” beginning on page </w:t>
      </w:r>
      <w:r>
        <w:rPr>
          <w:rFonts w:ascii="Times New Roman" w:cs="Times New Roman" w:eastAsia="Times New Roman" w:hAnsi="Times New Roman"/>
          <w:sz w:val="16"/>
          <w:szCs w:val="16"/>
          <w:b w:val="1"/>
          <w:bCs w:val="1"/>
          <w:u w:val="single" w:color="auto"/>
          <w:color w:val="0000EE"/>
        </w:rPr>
        <w:t>S-6</w:t>
      </w:r>
      <w:r>
        <w:rPr>
          <w:rFonts w:ascii="Times New Roman" w:cs="Times New Roman" w:eastAsia="Times New Roman" w:hAnsi="Times New Roman"/>
          <w:sz w:val="16"/>
          <w:szCs w:val="16"/>
          <w:b w:val="1"/>
          <w:bCs w:val="1"/>
          <w:color w:val="auto"/>
        </w:rPr>
        <w:t xml:space="preserve"> for a discussion of certain risks that you should consider in connection with an investment in the notes.</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Per Note ​</w:t>
            </w: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Total Notes ​</w:t>
            </w:r>
          </w:p>
        </w:tc>
      </w:tr>
      <w:tr>
        <w:trPr>
          <w:trHeight w:val="183"/>
        </w:trPr>
        <w:tc>
          <w:tcPr>
            <w:tcW w:w="44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Public offering price</w:t>
            </w:r>
            <w:r>
              <w:rPr>
                <w:rFonts w:ascii="Times New Roman" w:cs="Times New Roman" w:eastAsia="Times New Roman" w:hAnsi="Times New Roman"/>
                <w:sz w:val="19"/>
                <w:szCs w:val="19"/>
                <w:color w:val="auto"/>
                <w:vertAlign w:val="superscript"/>
              </w:rPr>
              <w:t>(1)</w:t>
            </w:r>
          </w:p>
        </w:tc>
        <w:tc>
          <w:tcPr>
            <w:tcW w:w="2260" w:type="dxa"/>
            <w:vAlign w:val="bottom"/>
            <w:tcBorders>
              <w:top w:val="single" w:sz="8" w:color="CCEEFF"/>
            </w:tcBorders>
            <w:shd w:val="clear" w:color="auto" w:fill="CCEEFF"/>
          </w:tcPr>
          <w:p>
            <w:pPr>
              <w:ind w:left="22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tcBorders>
            <w:shd w:val="clear" w:color="auto" w:fill="CCEEFF"/>
          </w:tcPr>
          <w:p>
            <w:pPr>
              <w:ind w:left="1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ind w:left="120"/>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44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19"/>
                <w:szCs w:val="19"/>
                <w:color w:val="auto"/>
                <w:vertAlign w:val="superscript"/>
              </w:rPr>
              <w:t>(2)</w:t>
            </w:r>
          </w:p>
        </w:tc>
        <w:tc>
          <w:tcPr>
            <w:tcW w:w="236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236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-376555</wp:posOffset>
            </wp:positionV>
            <wp:extent cx="4766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0" w:lineRule="exact"/>
        <w:rPr>
          <w:sz w:val="24"/>
          <w:szCs w:val="24"/>
          <w:color w:val="auto"/>
        </w:rPr>
      </w:pPr>
    </w:p>
    <w:p>
      <w:pPr>
        <w:ind w:left="360" w:hanging="356"/>
        <w:spacing w:after="0"/>
        <w:tabs>
          <w:tab w:leader="none" w:pos="3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if any, from                      , 2022.</w:t>
      </w:r>
    </w:p>
    <w:p>
      <w:pPr>
        <w:spacing w:after="0" w:line="86" w:lineRule="exact"/>
        <w:rPr>
          <w:rFonts w:ascii="Times New Roman" w:cs="Times New Roman" w:eastAsia="Times New Roman" w:hAnsi="Times New Roman"/>
          <w:sz w:val="16"/>
          <w:szCs w:val="16"/>
          <w:color w:val="auto"/>
        </w:rPr>
      </w:pPr>
    </w:p>
    <w:p>
      <w:pPr>
        <w:ind w:left="360" w:right="239" w:hanging="356"/>
        <w:spacing w:after="0" w:line="298" w:lineRule="auto"/>
        <w:tabs>
          <w:tab w:leader="none" w:pos="3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you to “Underwriting” beginning on page S-35 of this prospectus supplement for additional information regarding underwriting compensation.</w:t>
      </w:r>
    </w:p>
    <w:p>
      <w:pPr>
        <w:spacing w:after="0" w:line="29" w:lineRule="exact"/>
        <w:rPr>
          <w:sz w:val="24"/>
          <w:szCs w:val="24"/>
          <w:color w:val="auto"/>
        </w:rPr>
      </w:pPr>
    </w:p>
    <w:p>
      <w:pPr>
        <w:ind w:right="139" w:firstLine="360"/>
        <w:spacing w:after="0" w:line="263" w:lineRule="auto"/>
        <w:rPr>
          <w:sz w:val="20"/>
          <w:szCs w:val="20"/>
          <w:color w:val="auto"/>
        </w:rPr>
      </w:pPr>
      <w:r>
        <w:rPr>
          <w:rFonts w:ascii="Times New Roman" w:cs="Times New Roman" w:eastAsia="Times New Roman" w:hAnsi="Times New Roman"/>
          <w:sz w:val="16"/>
          <w:szCs w:val="16"/>
          <w:color w:val="auto"/>
        </w:rPr>
        <w:t>The notes will be a new issue of securities with no established trading market. We do not intend to apply to list the notes on any securities exchange.</w:t>
      </w:r>
    </w:p>
    <w:p>
      <w:pPr>
        <w:spacing w:after="0" w:line="42" w:lineRule="exact"/>
        <w:rPr>
          <w:sz w:val="24"/>
          <w:szCs w:val="24"/>
          <w:color w:val="auto"/>
        </w:rPr>
      </w:pPr>
    </w:p>
    <w:p>
      <w:pPr>
        <w:ind w:right="359" w:firstLine="360"/>
        <w:spacing w:after="0"/>
        <w:rPr>
          <w:sz w:val="20"/>
          <w:szCs w:val="20"/>
          <w:color w:val="auto"/>
        </w:rPr>
      </w:pPr>
      <w:r>
        <w:rPr>
          <w:rFonts w:ascii="Times New Roman" w:cs="Times New Roman" w:eastAsia="Times New Roman" w:hAnsi="Times New Roman"/>
          <w:sz w:val="16"/>
          <w:szCs w:val="16"/>
          <w:color w:val="auto"/>
        </w:rPr>
        <w:t>It is expected that delivery of the notes will be made against payment therefor on or about                               , 2022, which will be the            th business day following the date of pricing of the notes (such settlement cycle being</w:t>
      </w:r>
    </w:p>
    <w:p>
      <w:pPr>
        <w:spacing w:after="0" w:line="1" w:lineRule="exact"/>
        <w:rPr>
          <w:sz w:val="24"/>
          <w:szCs w:val="24"/>
          <w:color w:val="auto"/>
        </w:rPr>
      </w:pPr>
    </w:p>
    <w:p>
      <w:pPr>
        <w:ind w:right="139"/>
        <w:spacing w:after="0" w:line="220" w:lineRule="auto"/>
        <w:rPr>
          <w:sz w:val="20"/>
          <w:szCs w:val="20"/>
          <w:color w:val="auto"/>
        </w:rPr>
      </w:pPr>
      <w:r>
        <w:rPr>
          <w:rFonts w:ascii="Times New Roman" w:cs="Times New Roman" w:eastAsia="Times New Roman" w:hAnsi="Times New Roman"/>
          <w:sz w:val="16"/>
          <w:szCs w:val="16"/>
          <w:color w:val="auto"/>
        </w:rPr>
        <w:t>referred to as “T+            ”). Pursuant to Rule 15c6-1 under the Securities Exchange Act of 1934, as amended, trades in the secondary market generally are required to settle in two business days, unless the parties to any such trade expressly</w:t>
      </w:r>
    </w:p>
    <w:p>
      <w:pPr>
        <w:spacing w:after="0" w:line="229" w:lineRule="auto"/>
        <w:rPr>
          <w:sz w:val="20"/>
          <w:szCs w:val="20"/>
          <w:color w:val="auto"/>
        </w:rPr>
      </w:pPr>
      <w:r>
        <w:rPr>
          <w:rFonts w:ascii="Times New Roman" w:cs="Times New Roman" w:eastAsia="Times New Roman" w:hAnsi="Times New Roman"/>
          <w:sz w:val="16"/>
          <w:szCs w:val="16"/>
          <w:color w:val="auto"/>
        </w:rPr>
        <w:t>agree otherwise. Accordingly, purchasers who wish to trade the notes on any date prior to two business days before the</w:t>
      </w:r>
    </w:p>
    <w:p>
      <w:pPr>
        <w:ind w:right="139"/>
        <w:spacing w:after="0" w:line="220" w:lineRule="auto"/>
        <w:rPr>
          <w:sz w:val="20"/>
          <w:szCs w:val="20"/>
          <w:color w:val="auto"/>
        </w:rPr>
      </w:pPr>
      <w:r>
        <w:rPr>
          <w:rFonts w:ascii="Times New Roman" w:cs="Times New Roman" w:eastAsia="Times New Roman" w:hAnsi="Times New Roman"/>
          <w:sz w:val="16"/>
          <w:szCs w:val="16"/>
          <w:color w:val="auto"/>
        </w:rPr>
        <w:t>settlement date will be required to specify alternative settlement arrangements to prevent a failed settlement. Purchasers of the notes who wish to trade the notes prior to the second business day before the date of delivery should consult their</w:t>
      </w:r>
    </w:p>
    <w:p>
      <w:pPr>
        <w:spacing w:after="0" w:line="229" w:lineRule="auto"/>
        <w:rPr>
          <w:sz w:val="20"/>
          <w:szCs w:val="20"/>
          <w:color w:val="auto"/>
        </w:rPr>
      </w:pPr>
      <w:r>
        <w:rPr>
          <w:rFonts w:ascii="Times New Roman" w:cs="Times New Roman" w:eastAsia="Times New Roman" w:hAnsi="Times New Roman"/>
          <w:sz w:val="16"/>
          <w:szCs w:val="16"/>
          <w:color w:val="auto"/>
        </w:rPr>
        <w:t>own advisors. It is expected that delivery of the notes will be made in book entry form, through The Depository Trust</w:t>
      </w:r>
    </w:p>
    <w:p>
      <w:pPr>
        <w:ind w:right="159"/>
        <w:spacing w:after="0" w:line="231" w:lineRule="auto"/>
        <w:rPr>
          <w:sz w:val="20"/>
          <w:szCs w:val="20"/>
          <w:color w:val="auto"/>
        </w:rPr>
      </w:pPr>
      <w:r>
        <w:rPr>
          <w:rFonts w:ascii="Times New Roman" w:cs="Times New Roman" w:eastAsia="Times New Roman" w:hAnsi="Times New Roman"/>
          <w:sz w:val="16"/>
          <w:szCs w:val="16"/>
          <w:color w:val="auto"/>
        </w:rPr>
        <w:t xml:space="preserve">Company, or “DTC,” for the account of its participants, including Clearstream Banking,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and Euroclear Bank SA/NV.</w:t>
      </w:r>
    </w:p>
    <w:p>
      <w:pPr>
        <w:spacing w:after="0" w:line="7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w:t>
      </w:r>
    </w:p>
    <w:p>
      <w:pPr>
        <w:spacing w:after="0" w:line="23" w:lineRule="exact"/>
        <w:rPr>
          <w:sz w:val="24"/>
          <w:szCs w:val="24"/>
          <w:color w:val="auto"/>
        </w:rPr>
      </w:pPr>
    </w:p>
    <w:p>
      <w:pPr>
        <w:ind w:right="99"/>
        <w:spacing w:after="0" w:line="231" w:lineRule="auto"/>
        <w:rPr>
          <w:sz w:val="20"/>
          <w:szCs w:val="20"/>
          <w:color w:val="auto"/>
        </w:rPr>
      </w:pPr>
      <w:r>
        <w:rPr>
          <w:rFonts w:ascii="Times New Roman" w:cs="Times New Roman" w:eastAsia="Times New Roman" w:hAnsi="Times New Roman"/>
          <w:sz w:val="16"/>
          <w:szCs w:val="16"/>
          <w:b w:val="1"/>
          <w:bCs w:val="1"/>
          <w:color w:val="auto"/>
        </w:rPr>
        <w:t>these securities or determined if this prospectus supplement or the accompanying prospectus to which it relates is truthful or complete. Any representation to the contrary is a criminal offense.</w:t>
      </w:r>
    </w:p>
    <w:p>
      <w:pPr>
        <w:spacing w:after="0" w:line="7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Joint Book Running Managers</w:t>
      </w:r>
    </w:p>
    <w:p>
      <w:pPr>
        <w:spacing w:after="0" w:line="50" w:lineRule="exact"/>
        <w:rPr>
          <w:sz w:val="24"/>
          <w:szCs w:val="24"/>
          <w:color w:val="auto"/>
        </w:rPr>
      </w:pPr>
    </w:p>
    <w:p>
      <w:pPr>
        <w:spacing w:after="0"/>
        <w:tabs>
          <w:tab w:leader="none" w:pos="3340" w:val="left"/>
          <w:tab w:leader="none" w:pos="6280" w:val="left"/>
        </w:tabs>
        <w:rPr>
          <w:sz w:val="20"/>
          <w:szCs w:val="20"/>
          <w:color w:val="auto"/>
        </w:rPr>
      </w:pPr>
      <w:r>
        <w:rPr>
          <w:rFonts w:ascii="Times New Roman" w:cs="Times New Roman" w:eastAsia="Times New Roman" w:hAnsi="Times New Roman"/>
          <w:sz w:val="29"/>
          <w:szCs w:val="29"/>
          <w:b w:val="1"/>
          <w:bCs w:val="1"/>
          <w:color w:val="auto"/>
        </w:rPr>
        <w:t>TD Securities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7"/>
          <w:szCs w:val="27"/>
          <w:b w:val="1"/>
          <w:bCs w:val="1"/>
          <w:color w:val="auto"/>
        </w:rPr>
        <w:t>Truist Securities</w:t>
      </w:r>
    </w:p>
    <w:p>
      <w:pPr>
        <w:spacing w:after="0" w:line="69" w:lineRule="exact"/>
        <w:rPr>
          <w:sz w:val="24"/>
          <w:szCs w:val="24"/>
          <w:color w:val="auto"/>
        </w:rPr>
      </w:pPr>
    </w:p>
    <w:p>
      <w:pPr>
        <w:sectPr>
          <w:pgSz w:w="11900" w:h="16838" w:orient="portrait"/>
          <w:cols w:equalWidth="0" w:num="2">
            <w:col w:w="1360" w:space="220"/>
            <w:col w:w="8299"/>
          </w:cols>
          <w:pgMar w:left="580" w:top="205" w:right="1440"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16"/>
          <w:szCs w:val="16"/>
          <w:color w:val="auto"/>
        </w:rPr>
        <w:t>The date of this prospectus supplement is             ,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50800</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right="420"/>
        <w:spacing w:after="0" w:line="310" w:lineRule="auto"/>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STATEMENT REGARDING FORWARD-LOOKING STATEMENTS </w:t>
      </w:r>
      <w:r>
        <w:rPr>
          <w:rFonts w:ascii="Times New Roman" w:cs="Times New Roman" w:eastAsia="Times New Roman" w:hAnsi="Times New Roman"/>
          <w:sz w:val="18"/>
          <w:szCs w:val="18"/>
          <w:u w:val="single" w:color="auto"/>
          <w:color w:val="0000EE"/>
        </w:rPr>
        <w:t>SUMMARY</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-219075</wp:posOffset>
            </wp:positionV>
            <wp:extent cx="521208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NOTES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BOOK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-ENTRY, DELIVERY AND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right="2220"/>
        <w:spacing w:after="0" w:line="313" w:lineRule="auto"/>
        <w:rPr>
          <w:sz w:val="20"/>
          <w:szCs w:val="20"/>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 FEDERAL INCOME TAX CONSEQUENCES </w:t>
      </w: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INFORMATION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INCORPORATED BY REFERENCE</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SUBSIDIARY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INFORMATION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INCORPORATED BY REFERENCE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257175</wp:posOffset>
            </wp:positionV>
            <wp:extent cx="1234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220" w:space="720"/>
            <w:col w:w="939"/>
          </w:cols>
          <w:pgMar w:left="580" w:top="9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260" w:right="51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In making your investment decision, you should rely only on the information included or incorporated by reference in this prospectus supplement or to which this prospectus supplement refers or that is contained in any free writing prospectus relating to the notes. Neither we nor the underwriters have authorized anyone to provide you with information that is different from that contained in or incorporated by reference into this prospectus supplement or the accompanying prospectus or in any free writing prospectus we may authorize to be delivered or made available to you. We and the underwriters take no responsibility for, and can provide no assurance as to the reliability of, any other information that others may give you. We are not, and the underwriters are not, making an offer of these notes in any jurisdiction where the offer or sale is not permitted. You should not assume that the information provided by this prospectus supplement, the accompanying prospectus or the documents incorporated by reference herein or therein is accurate as of any date other than the respective dates of such documents. Our business, financial condition, results of operations and prospects may have changed since those dates.</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Securities and Exchange Commission, or the “SEC,” utilizing a “shelf” registration process. This document is in two parts. The first part is this prospectus supplement, which describes the specific terms of the notes we are offering and certain other matters. The second part, the accompanying prospectus dated November 21, 2022, provides more general information about the debt securities that we may offer from time to time, some of which information may not apply to the notes we are offering hereby. Generally when we refer to this “prospectus,” we are referring to both this prospectus supplement and the accompanying prospectus combined. We urge you to read carefully this prospectus supplement, the accompanying prospectus, the information incorporated by reference herein and therein, and any free writing prospectus that we authorize to be distributed to you before buying any of the notes being offered under this prospectus supplement.</w:t>
      </w:r>
    </w:p>
    <w:p>
      <w:pPr>
        <w:spacing w:after="0" w:line="127"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may supplement, update or change information contained in the accompanying prospectus. To the extent that any statement that we make or other information in this prospectus supplement is inconsistent with statements made or other information in the accompanying prospectus or any documents incorporated by reference therein, the statements made or other information in this prospectus supplement will be deemed to modify or supersede those made or contained in the accompanying prospectus and such documents incorporated by reference therein.</w:t>
      </w:r>
    </w:p>
    <w:p>
      <w:pPr>
        <w:spacing w:after="0" w:line="10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Before you invest in our notes, you should carefully read the registration statement described in the accompanying prospectus (including the exhibits thereto) of which this prospectus supplement and the accompanying prospectus form a part, as well as this prospectus supplement, the accompanying prospectus and the documents incorporated by reference herein and therein. The documents incorporated by reference into this prospectus supplement are described under “Information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This prospectus supplement, including documents incorporated by reference, contains forward- looking statements,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pending and completed acquisitions and divestitures); and plans and objectives of management (including plans for future cash flow from operations and for executing environmental and social responsibility strategies) are forward-looking statements. When used in this prospectus supplement or documents incorporated by reference therein,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 looking statements are reasonable as and when made, they involve risks and uncertainties that are difficult to predict and, in many cases, beyond our control. Accordingly, forward- looking statements are not guarantees of future performance and our actual outcomes could differ materially from what we have expressed in our forward-looking statements.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Factors that could cause our outcomes to differ materially include (but are not limited to) the following:</w:t>
      </w:r>
    </w:p>
    <w:p>
      <w:pPr>
        <w:spacing w:after="0" w:line="104" w:lineRule="exact"/>
        <w:rPr>
          <w:sz w:val="20"/>
          <w:szCs w:val="20"/>
          <w:color w:val="auto"/>
        </w:rPr>
      </w:pPr>
    </w:p>
    <w:p>
      <w:pPr>
        <w:ind w:left="1800" w:right="6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such as the COVID-19 pandemic, and any related company or government policies or actions;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40"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and inflation rates and concerns over a potential economic downturn or recession;</w:t>
      </w:r>
    </w:p>
    <w:p>
      <w:pPr>
        <w:spacing w:after="0" w:line="6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or governmental orders, rules or regulations that impose production limits;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employee retention and an increasingly competitive labor market due to a sustained labor shortage or increased turnover caused by the COVID-19 pandemic;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oilfield services;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(including those addressing air emissions, water management, or the impact of global climate change);</w:t>
      </w:r>
    </w:p>
    <w:p>
      <w:pPr>
        <w:spacing w:after="0" w:line="3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for our oil, natural gas, and natural gas liquids;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necessary approvals and permits;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our credit agreement and hedging contracts;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Item 1A of Part I of our Annual Report on Form 10-K incorporated by reference into this prospectus supplement.</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 by reference in this prospectus supplement. All forward-looking statements speak only as of the date of this prospectus supplement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79" w:firstLine="360"/>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selected information contained elsewhere in this prospectus supplement, the accompanying prospectus and the documents we incorporate by reference. It does not contain all of the information you should consider before making an investment decision. You should read the entire prospectus supplement, the accompanying prospectus, the documents incorporated by reference and the other documents to which we refer for a more complete understanding of our business and this offering. Please read the section entitled “Risk Factors” commencing on page </w:t>
      </w:r>
      <w:r>
        <w:rPr>
          <w:rFonts w:ascii="Times New Roman" w:cs="Times New Roman" w:eastAsia="Times New Roman" w:hAnsi="Times New Roman"/>
          <w:sz w:val="18"/>
          <w:szCs w:val="18"/>
          <w:i w:val="1"/>
          <w:iCs w:val="1"/>
          <w:u w:val="single" w:color="auto"/>
          <w:color w:val="0000EE"/>
        </w:rPr>
        <w:t>S-6</w:t>
      </w:r>
      <w:r>
        <w:rPr>
          <w:rFonts w:ascii="Times New Roman" w:cs="Times New Roman" w:eastAsia="Times New Roman" w:hAnsi="Times New Roman"/>
          <w:sz w:val="18"/>
          <w:szCs w:val="18"/>
          <w:i w:val="1"/>
          <w:iCs w:val="1"/>
          <w:color w:val="auto"/>
        </w:rPr>
        <w:t xml:space="preserve"> of this prospectus supplement and </w:t>
      </w:r>
      <w:hyperlink r:id="rId32">
        <w:r>
          <w:rPr>
            <w:rFonts w:ascii="Times New Roman" w:cs="Times New Roman" w:eastAsia="Times New Roman" w:hAnsi="Times New Roman"/>
            <w:sz w:val="18"/>
            <w:szCs w:val="18"/>
            <w:i w:val="1"/>
            <w:iCs w:val="1"/>
            <w:color w:val="auto"/>
          </w:rPr>
          <w:t xml:space="preserve">additional information contained in our </w:t>
        </w:r>
        <w:r>
          <w:rPr>
            <w:rFonts w:ascii="Times New Roman" w:cs="Times New Roman" w:eastAsia="Times New Roman" w:hAnsi="Times New Roman"/>
            <w:sz w:val="18"/>
            <w:szCs w:val="18"/>
            <w:i w:val="1"/>
            <w:iCs w:val="1"/>
            <w:u w:val="single" w:color="auto"/>
            <w:color w:val="0000EE"/>
          </w:rPr>
          <w:t>Annual Report on Form 10-K for the year ended December 31,</w:t>
        </w:r>
      </w:hyperlink>
      <w:r>
        <w:rPr>
          <w:rFonts w:ascii="Times New Roman" w:cs="Times New Roman" w:eastAsia="Times New Roman" w:hAnsi="Times New Roman"/>
          <w:sz w:val="18"/>
          <w:szCs w:val="18"/>
          <w:i w:val="1"/>
          <w:iCs w:val="1"/>
          <w:color w:val="auto"/>
        </w:rPr>
        <w:t xml:space="preserve"> </w:t>
      </w:r>
      <w:hyperlink r:id="rId32">
        <w:r>
          <w:rPr>
            <w:rFonts w:ascii="Times New Roman" w:cs="Times New Roman" w:eastAsia="Times New Roman" w:hAnsi="Times New Roman"/>
            <w:sz w:val="18"/>
            <w:szCs w:val="18"/>
            <w:i w:val="1"/>
            <w:iCs w:val="1"/>
            <w:u w:val="single" w:color="auto"/>
            <w:color w:val="0000EE"/>
          </w:rPr>
          <w:t>2021</w:t>
        </w:r>
        <w:r>
          <w:rPr>
            <w:rFonts w:ascii="Times New Roman" w:cs="Times New Roman" w:eastAsia="Times New Roman" w:hAnsi="Times New Roman"/>
            <w:sz w:val="18"/>
            <w:szCs w:val="18"/>
            <w:i w:val="1"/>
            <w:iCs w:val="1"/>
            <w:color w:val="000000"/>
          </w:rPr>
          <w:t>, subsequent Quarterly Reports on Form 10-Q and other filings we make with the SEC, which</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information is incorporated by reference in this prospectus supplement, for financial and other important information you should consider before investing in the notes.</w:t>
      </w:r>
    </w:p>
    <w:p>
      <w:pPr>
        <w:spacing w:after="0" w:line="118"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 this prospectus supplement, unless otherwise indicated or the context otherwise requires, the terms “Diamondback Energy,” the “Company,” “we,” “our” and “us” refer to Diamondback Energy, Inc. and its consolidated subsidiaries. References to “underwriters” refer to the firms listed on the cover page of this prospectus supplement.</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48"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16" w:lineRule="exact"/>
        <w:rPr>
          <w:sz w:val="20"/>
          <w:szCs w:val="20"/>
          <w:color w:val="auto"/>
        </w:rPr>
      </w:pPr>
    </w:p>
    <w:p>
      <w:pPr>
        <w:ind w:left="1280" w:right="699" w:firstLine="360"/>
        <w:spacing w:after="0" w:line="258" w:lineRule="auto"/>
        <w:rPr>
          <w:sz w:val="20"/>
          <w:szCs w:val="20"/>
          <w:color w:val="auto"/>
        </w:rPr>
      </w:pPr>
      <w:r>
        <w:rPr>
          <w:rFonts w:ascii="Times New Roman" w:cs="Times New Roman" w:eastAsia="Times New Roman" w:hAnsi="Times New Roman"/>
          <w:sz w:val="18"/>
          <w:szCs w:val="18"/>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w:t>
      </w:r>
    </w:p>
    <w:p>
      <w:pPr>
        <w:spacing w:after="0" w:line="116"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We operate in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ownership, operation, development and acquisition of midstream infrastructure assets in the Midland and Delaware Basins of the Permian Basin. Prior to our merger with our subsidiary Rattler Midstream LP (“Rattler”) completed on August 24, 2022 (the “Rattler Merger”), both the upstream operations segment and the midstream operations segment were also considered reportable segments. Following the Rattler Merger, we determined only the upstream operating segment met the quantitative requirements of a reportable segment. Also, in our upstream operating segment, our publicly-traded subsidiary, Viper Energy Partners LP (“Viper”), is focused on owning and acquiring mineral and royalty interests in oil and natural gas properties primarily in the Permian Basin.</w:t>
      </w:r>
    </w:p>
    <w:p>
      <w:pPr>
        <w:spacing w:after="0" w:line="329" w:lineRule="exact"/>
        <w:rPr>
          <w:sz w:val="20"/>
          <w:szCs w:val="20"/>
          <w:color w:val="auto"/>
        </w:rPr>
      </w:pPr>
    </w:p>
    <w:p>
      <w:pPr>
        <w:ind w:left="128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500 West Texas, Suite 100, Midland, Texas, and our telephone number at that address is (432) 221-7400. Our website address is </w:t>
      </w:r>
      <w:r>
        <w:rPr>
          <w:rFonts w:ascii="Times New Roman" w:cs="Times New Roman" w:eastAsia="Times New Roman" w:hAnsi="Times New Roman"/>
          <w:sz w:val="18"/>
          <w:szCs w:val="18"/>
          <w:i w:val="1"/>
          <w:iCs w:val="1"/>
          <w:color w:val="auto"/>
        </w:rPr>
        <w:t>www.diamondbackenergy.com</w:t>
      </w:r>
      <w:r>
        <w:rPr>
          <w:rFonts w:ascii="Times New Roman" w:cs="Times New Roman" w:eastAsia="Times New Roman" w:hAnsi="Times New Roman"/>
          <w:sz w:val="18"/>
          <w:szCs w:val="18"/>
          <w:color w:val="auto"/>
        </w:rPr>
        <w:t>. Information contained on our website does not constitute part of this prospectus supplement.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Pending FireBird Acquisition</w:t>
      </w:r>
    </w:p>
    <w:p>
      <w:pPr>
        <w:spacing w:after="0" w:line="16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On October 11, 2022, we entered into a definitive purchase and sale agreement to acquire approximately 75,000 gross (68,000 net) acres in the Midland Basin and certain related oil and gas assets of FireBird Energy LLC in exchange for $775.0 million in cash and 5.86 million shares of our common stock, subject to customary adjustments (the “Pending FireBird Acquisition”). The Pending FireBird Acquisition is expected to close on November 30, 2022, subject to customary closing conditions.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October 2022 Senior Notes Offering and the Rattler Notes Redemption</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On October 28, 2022, we issued $1.1 billion in principal amount of our 6.250% Senior Notes due 2033 and received gross proceeds of $1.1 billion, before any adjustments for debt issuance costs and discounts (the “October 2022 Senior Notes Offering”). We used a portion of the net proceeds from the October 2022 Senior Notes Offering to fund, in full, the redemption of all of Rattler’s then outstanding 5.625% Senior Notes due 2025 (the “Rattler Notes”) in the aggregate principal amount of $500.0 million (the “Rattler Notes Redemption”) at a redemption price that included a premium and accrued and unpaid interest thereon. We intend to use the remaining net proceeds for general corporate purposes, including the funding of a portion of the cash consideration for the Pending FireBird Acquisition at closing, which is expected to occur on November 30, 2022. In this prospectus supplement, we collectively refer to the October 2022 Senior Notes Offering and the Rattler Notes Redemption as the “Recent Debt Transactions.”</w:t>
      </w:r>
    </w:p>
    <w:p>
      <w:pPr>
        <w:spacing w:after="0" w:line="19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Pending Lario Acquisition</w:t>
      </w:r>
    </w:p>
    <w:p>
      <w:pPr>
        <w:spacing w:after="0" w:line="162"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On November 16, 2022, we entered into a definitive purchase agreement to acquire all leasehold interest and related assets of Lario Permian, LLC, a wholly owned subsidiary of Lario Oil &amp; Gas Company, and certain associated sellers in exchange for 4.18 million shares of our common stock and $850.0 million of cash (the “Pending Lario Acquisition”). The assets subject to the Pending Lario Acquisition include approximately 25,000 gross (15,000 net) acres in the core of the Northern Midland Basin. We intend to fund the cash consideration for the Pending Lario Acquisition with the net proceeds from this offering, cash on hand and borrowings under our revolving credit facility. The Pending Lario Acquisition is expected to close on January 31, 2023, subject to customary closing conditions and adjustments. The Pending Lario Acquisition is not contingent upon closing of this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5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but may not contain all of the information that may be important to you. For a more complete understanding of the notes, please refer to the section entitled “Description of Notes” in this prospectus supplement and “Description of Debt Securities” in the accompanying prospectus.</w:t>
      </w:r>
    </w:p>
    <w:p>
      <w:pPr>
        <w:spacing w:after="0" w:line="6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30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xml:space="preserve">$          </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aggregate principal amount of         % Senior Notes</w:t>
            </w:r>
          </w:p>
        </w:tc>
      </w:tr>
      <w:tr>
        <w:trPr>
          <w:trHeight w:val="234"/>
        </w:trPr>
        <w:tc>
          <w:tcPr>
            <w:tcW w:w="2600" w:type="dxa"/>
            <w:vAlign w:val="bottom"/>
          </w:tcPr>
          <w:p>
            <w:pPr>
              <w:spacing w:after="0"/>
              <w:rPr>
                <w:sz w:val="20"/>
                <w:szCs w:val="20"/>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due 2053.</w:t>
            </w: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notes will mature on March 15, 2053.</w:t>
            </w: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Interest on the notes will accrue at         % per annum.</w:t>
            </w:r>
          </w:p>
        </w:tc>
      </w:tr>
      <w:tr>
        <w:trPr>
          <w:trHeight w:val="30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Payable semi-annually on                 and                   ,</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commencing                 , 2023. Interest will accrue from</w:t>
            </w:r>
          </w:p>
        </w:tc>
      </w:tr>
      <w:tr>
        <w:trPr>
          <w:trHeight w:val="234"/>
        </w:trPr>
        <w:tc>
          <w:tcPr>
            <w:tcW w:w="2600" w:type="dxa"/>
            <w:vAlign w:val="bottom"/>
          </w:tcPr>
          <w:p>
            <w:pPr>
              <w:spacing w:after="0"/>
              <w:rPr>
                <w:sz w:val="20"/>
                <w:szCs w:val="20"/>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 2022.</w:t>
            </w:r>
          </w:p>
        </w:tc>
      </w:tr>
      <w:tr>
        <w:trPr>
          <w:trHeight w:val="30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At our option, prior to September 15, 2052 (the date that is</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six months prior to the maturity date), we may redeem some</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or all of the notes, at any time and from time to time, at a</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redemption price set forth in “Description of Notes —</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Optional Redemption,” which includes a make-whole</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premium. Commencing September 15, 2052 (the date that is</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six months before the maturity date), we may redeem some or</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all of the notes, at any time and from time to time, at a</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redemption price equal to the principal amount of the notes</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being redeemed plus accrued and unpaid interest thereon to</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but not including the redemption date. See “Description of</w:t>
            </w:r>
          </w:p>
        </w:tc>
      </w:tr>
      <w:tr>
        <w:trPr>
          <w:trHeight w:val="234"/>
        </w:trPr>
        <w:tc>
          <w:tcPr>
            <w:tcW w:w="2600" w:type="dxa"/>
            <w:vAlign w:val="bottom"/>
          </w:tcPr>
          <w:p>
            <w:pPr>
              <w:spacing w:after="0"/>
              <w:rPr>
                <w:sz w:val="20"/>
                <w:szCs w:val="20"/>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Notes — Optional Redemption” in this prospectus supplement.</w:t>
            </w:r>
          </w:p>
        </w:tc>
      </w:tr>
      <w:tr>
        <w:trPr>
          <w:trHeight w:val="30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Subsidiary Guarantor</w:t>
            </w: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payment of the principal, premium and interest on the</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notes will be guaranteed on a senior unsecured basis by</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Diamondback E&amp;P LLC (the “Subsidiary Guarantor”). The</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Subsidiary Guarantor’s guarantee of the notes will be “full and</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unconditional,” as that term is used in Regulation S-X,</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Rule 3-10(b)(3), except that in the future the guarantee may</w:t>
            </w:r>
          </w:p>
        </w:tc>
      </w:tr>
      <w:tr>
        <w:trPr>
          <w:trHeight w:val="216"/>
        </w:trPr>
        <w:tc>
          <w:tcPr>
            <w:tcW w:w="2600" w:type="dxa"/>
            <w:vAlign w:val="bottom"/>
          </w:tcPr>
          <w:p>
            <w:pPr>
              <w:spacing w:after="0"/>
              <w:rPr>
                <w:sz w:val="18"/>
                <w:szCs w:val="18"/>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be released or terminated under certain circumstances. See</w:t>
            </w:r>
          </w:p>
        </w:tc>
      </w:tr>
      <w:tr>
        <w:trPr>
          <w:trHeight w:val="234"/>
        </w:trPr>
        <w:tc>
          <w:tcPr>
            <w:tcW w:w="2600" w:type="dxa"/>
            <w:vAlign w:val="bottom"/>
          </w:tcPr>
          <w:p>
            <w:pPr>
              <w:spacing w:after="0"/>
              <w:rPr>
                <w:sz w:val="20"/>
                <w:szCs w:val="20"/>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“Description of Notes — Subsidiary Guarantee.”</w:t>
            </w:r>
          </w:p>
        </w:tc>
      </w:tr>
      <w:tr>
        <w:trPr>
          <w:trHeight w:val="30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notes and the guarantee will be our and the Subsidiary</w:t>
            </w:r>
          </w:p>
        </w:tc>
      </w:tr>
      <w:tr>
        <w:trPr>
          <w:trHeight w:val="234"/>
        </w:trPr>
        <w:tc>
          <w:tcPr>
            <w:tcW w:w="2600" w:type="dxa"/>
            <w:vAlign w:val="bottom"/>
          </w:tcPr>
          <w:p>
            <w:pPr>
              <w:spacing w:after="0"/>
              <w:rPr>
                <w:sz w:val="20"/>
                <w:szCs w:val="20"/>
                <w:color w:val="auto"/>
              </w:rPr>
            </w:pPr>
          </w:p>
        </w:tc>
        <w:tc>
          <w:tcPr>
            <w:tcW w:w="5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Guarantor’s senior unsecured obligations and will be:</w:t>
            </w:r>
          </w:p>
        </w:tc>
      </w:tr>
      <w:tr>
        <w:trPr>
          <w:trHeight w:val="346"/>
        </w:trPr>
        <w:tc>
          <w:tcPr>
            <w:tcW w:w="260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in right of payment to any of our and the</w:t>
            </w:r>
          </w:p>
        </w:tc>
      </w:tr>
      <w:tr>
        <w:trPr>
          <w:trHeight w:val="216"/>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Guarantor’s future subordinated</w:t>
            </w:r>
          </w:p>
        </w:tc>
      </w:tr>
      <w:tr>
        <w:trPr>
          <w:trHeight w:val="234"/>
        </w:trPr>
        <w:tc>
          <w:tcPr>
            <w:tcW w:w="2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w:t>
            </w:r>
          </w:p>
        </w:tc>
      </w:tr>
      <w:tr>
        <w:trPr>
          <w:trHeight w:val="333"/>
        </w:trPr>
        <w:tc>
          <w:tcPr>
            <w:tcW w:w="260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equal in right of payment with all of our and the</w:t>
            </w:r>
          </w:p>
        </w:tc>
      </w:tr>
      <w:tr>
        <w:trPr>
          <w:trHeight w:val="216"/>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Guarantor’s existing and future senior</w:t>
            </w:r>
          </w:p>
        </w:tc>
      </w:tr>
      <w:tr>
        <w:trPr>
          <w:trHeight w:val="216"/>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 including the outstanding senior notes</w:t>
            </w:r>
          </w:p>
        </w:tc>
      </w:tr>
      <w:tr>
        <w:trPr>
          <w:trHeight w:val="216"/>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by Diamondback Energy, Inc. and the</w:t>
            </w:r>
          </w:p>
        </w:tc>
      </w:tr>
      <w:tr>
        <w:trPr>
          <w:trHeight w:val="216"/>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Guarantor’s guarantee thereof and all of</w:t>
            </w:r>
          </w:p>
        </w:tc>
      </w:tr>
      <w:tr>
        <w:trPr>
          <w:trHeight w:val="216"/>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Subsidiary Guarantor’s obligations under its</w:t>
            </w:r>
          </w:p>
        </w:tc>
      </w:tr>
      <w:tr>
        <w:trPr>
          <w:trHeight w:val="234"/>
        </w:trPr>
        <w:tc>
          <w:tcPr>
            <w:tcW w:w="2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revolving credit facility and our guarantee thereof;</w:t>
            </w:r>
          </w:p>
        </w:tc>
      </w:tr>
      <w:tr>
        <w:trPr>
          <w:trHeight w:val="346"/>
        </w:trPr>
        <w:tc>
          <w:tcPr>
            <w:tcW w:w="260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effectively subordinated to any of our and the</w:t>
            </w:r>
          </w:p>
        </w:tc>
      </w:tr>
      <w:tr>
        <w:trPr>
          <w:trHeight w:val="216"/>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Guarantor’s existing and future secured</w:t>
            </w:r>
          </w:p>
        </w:tc>
      </w:tr>
      <w:tr>
        <w:trPr>
          <w:trHeight w:val="216"/>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 if any, to the extent of the value of the</w:t>
            </w:r>
          </w:p>
        </w:tc>
      </w:tr>
      <w:tr>
        <w:trPr>
          <w:trHeight w:val="234"/>
        </w:trPr>
        <w:tc>
          <w:tcPr>
            <w:tcW w:w="2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securing such indebtedness; and</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structurally subordinated to all of the existing and</w:t>
            </w:r>
          </w:p>
        </w:tc>
      </w:tr>
      <w:tr>
        <w:trPr>
          <w:trHeight w:val="216"/>
        </w:trPr>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future indebtedness and other liabilities (including</w:t>
            </w:r>
          </w:p>
        </w:tc>
      </w:tr>
      <w:tr>
        <w:trPr>
          <w:trHeight w:val="216"/>
        </w:trPr>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payables) of each of our subsidiaries that is not</w:t>
            </w:r>
          </w:p>
        </w:tc>
      </w:tr>
      <w:tr>
        <w:trPr>
          <w:trHeight w:val="234"/>
        </w:trPr>
        <w:tc>
          <w:tcPr>
            <w:tcW w:w="3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guarantor of the notes.</w:t>
            </w:r>
          </w:p>
        </w:tc>
      </w:tr>
      <w:tr>
        <w:trPr>
          <w:trHeight w:val="346"/>
        </w:trPr>
        <w:tc>
          <w:tcPr>
            <w:tcW w:w="3020" w:type="dxa"/>
            <w:vAlign w:val="bottom"/>
          </w:tcPr>
          <w:p>
            <w:pPr>
              <w:spacing w:after="0"/>
              <w:rPr>
                <w:sz w:val="24"/>
                <w:szCs w:val="24"/>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September 30, 2022, after giving effect to the Recent</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Debt Transactions, the issuance of the notes offered hereby</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and the application of the net proceeds therefrom, our non-</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guarantor subsidiaries collectively would have had $          </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billion of indebtedness and other liabilities outstanding, and</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Company and the Subsidiary Guarantor would have had no</w:t>
            </w:r>
          </w:p>
        </w:tc>
      </w:tr>
      <w:tr>
        <w:trPr>
          <w:trHeight w:val="234"/>
        </w:trPr>
        <w:tc>
          <w:tcPr>
            <w:tcW w:w="3020" w:type="dxa"/>
            <w:vAlign w:val="bottom"/>
          </w:tcPr>
          <w:p>
            <w:pPr>
              <w:spacing w:after="0"/>
              <w:rPr>
                <w:sz w:val="20"/>
                <w:szCs w:val="20"/>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secured indebtedness outstanding.</w:t>
            </w:r>
          </w:p>
        </w:tc>
      </w:tr>
      <w:tr>
        <w:trPr>
          <w:trHeight w:val="30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We will issue the notes under the Indenture (as defined</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below), with Computershare Trust Company, National</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Association, as trustee. The Indenture will, among other</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things, limit our ability and the ability of our restricted</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subsidiaries to incur liens securing indebtedness and our</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ability to consolidate, merge or sell, convey, transfer or lease</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all or substantially all of our assets. See “Description of</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Notes” and “Description of Debt Securities” in the</w:t>
            </w:r>
          </w:p>
        </w:tc>
      </w:tr>
      <w:tr>
        <w:trPr>
          <w:trHeight w:val="234"/>
        </w:trPr>
        <w:tc>
          <w:tcPr>
            <w:tcW w:w="3020" w:type="dxa"/>
            <w:vAlign w:val="bottom"/>
          </w:tcPr>
          <w:p>
            <w:pPr>
              <w:spacing w:after="0"/>
              <w:rPr>
                <w:sz w:val="20"/>
                <w:szCs w:val="20"/>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30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Absence of Public Market</w:t>
            </w: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notes will be a new issue of securities with no established</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trading market. We do not intend to apply for a listing of the</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notes on any securities exchange. Accordingly, there can be no</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assurance as to the development or liquidity of any market for</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notes. The underwriters have advised us that they currently</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intend to make a market in the notes. However, they are not</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obligated to do so, and any market making with respect to the</w:t>
            </w:r>
          </w:p>
        </w:tc>
      </w:tr>
      <w:tr>
        <w:trPr>
          <w:trHeight w:val="234"/>
        </w:trPr>
        <w:tc>
          <w:tcPr>
            <w:tcW w:w="3020" w:type="dxa"/>
            <w:vAlign w:val="bottom"/>
          </w:tcPr>
          <w:p>
            <w:pPr>
              <w:spacing w:after="0"/>
              <w:rPr>
                <w:sz w:val="20"/>
                <w:szCs w:val="20"/>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notes may be discontinued without notice.</w:t>
            </w:r>
          </w:p>
        </w:tc>
      </w:tr>
      <w:tr>
        <w:trPr>
          <w:trHeight w:val="30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approximately $             million, after deducting the</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underwriters’ discounts and estimated offering expenses. We</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intend to use these net proceeds for general corporate</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purposes, including, without limitation, paying a portion of</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cash consideration for the Pending Lario Acquisition upon</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closing (if it occurs). This offering is not contingent upon the</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closing of the Pending Lario Acquisition. See “Recent</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Developments — Pending Lario Acquisition,” “Use of</w:t>
            </w:r>
          </w:p>
        </w:tc>
      </w:tr>
      <w:tr>
        <w:trPr>
          <w:trHeight w:val="234"/>
        </w:trPr>
        <w:tc>
          <w:tcPr>
            <w:tcW w:w="3020" w:type="dxa"/>
            <w:vAlign w:val="bottom"/>
          </w:tcPr>
          <w:p>
            <w:pPr>
              <w:spacing w:after="0"/>
              <w:rPr>
                <w:sz w:val="20"/>
                <w:szCs w:val="20"/>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Proceeds” and “Capitalization.”</w:t>
            </w:r>
          </w:p>
        </w:tc>
      </w:tr>
      <w:tr>
        <w:trPr>
          <w:trHeight w:val="32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32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Computershare Trust Company, National Association.</w:t>
            </w:r>
          </w:p>
        </w:tc>
      </w:tr>
      <w:tr>
        <w:trPr>
          <w:trHeight w:val="30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Form, Delivery and Denomination</w:t>
            </w: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notes will be represented by one or more global notes</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registered in the name of DTC or its nominee. Beneficial</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interests in the notes will be evidenced by, and transfers</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thereof will be effected only through, records maintained by</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participants in DTC. The notes will be issued in minimum</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denominations of $2,000 and integral multiples of $1,000 in</w:t>
            </w:r>
          </w:p>
        </w:tc>
      </w:tr>
      <w:tr>
        <w:trPr>
          <w:trHeight w:val="234"/>
        </w:trPr>
        <w:tc>
          <w:tcPr>
            <w:tcW w:w="3020" w:type="dxa"/>
            <w:vAlign w:val="bottom"/>
          </w:tcPr>
          <w:p>
            <w:pPr>
              <w:spacing w:after="0"/>
              <w:rPr>
                <w:sz w:val="20"/>
                <w:szCs w:val="20"/>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excess thereof.</w:t>
            </w:r>
          </w:p>
        </w:tc>
      </w:tr>
      <w:tr>
        <w:trPr>
          <w:trHeight w:val="30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Additional Notes</w:t>
            </w: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We may issue an unlimited principal amount of additional</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notes having identical terms and conditions as the notes, other</w:t>
            </w:r>
          </w:p>
        </w:tc>
      </w:tr>
      <w:tr>
        <w:trPr>
          <w:trHeight w:val="216"/>
        </w:trPr>
        <w:tc>
          <w:tcPr>
            <w:tcW w:w="302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than issue date, issue price, the first interest payment date and</w:t>
            </w:r>
          </w:p>
        </w:tc>
      </w:tr>
      <w:tr>
        <w:trPr>
          <w:trHeight w:val="234"/>
        </w:trPr>
        <w:tc>
          <w:tcPr>
            <w:tcW w:w="3020" w:type="dxa"/>
            <w:vAlign w:val="bottom"/>
          </w:tcPr>
          <w:p>
            <w:pPr>
              <w:spacing w:after="0"/>
              <w:rPr>
                <w:sz w:val="20"/>
                <w:szCs w:val="20"/>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date from which interest shall accrue, and any such</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additional notes will be part of the same series of the notes</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that we are currently offering and will vote on all matters with</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holders of notes.</w:t>
      </w:r>
    </w:p>
    <w:p>
      <w:pPr>
        <w:spacing w:after="0" w:line="99" w:lineRule="exact"/>
        <w:rPr>
          <w:sz w:val="20"/>
          <w:szCs w:val="20"/>
          <w:color w:val="auto"/>
        </w:rPr>
      </w:pPr>
    </w:p>
    <w:p>
      <w:pPr>
        <w:jc w:val="right"/>
        <w:ind w:right="439"/>
        <w:spacing w:after="0"/>
        <w:tabs>
          <w:tab w:leader="none" w:pos="46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In evaluating an investment in the notes, prospective investors</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should carefully consider, along with the other information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contained or incorporated in this prospectus, the specific</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factors set forth under “Risk Factors” commencing on page 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6 of this prospectus supplement for risks involved with an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investment in the notes.</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Settlement</w:t>
      </w:r>
      <w:r>
        <w:rPr>
          <w:sz w:val="20"/>
          <w:szCs w:val="20"/>
          <w:color w:val="auto"/>
        </w:rPr>
        <w:tab/>
      </w:r>
      <w:r>
        <w:rPr>
          <w:rFonts w:ascii="Times New Roman" w:cs="Times New Roman" w:eastAsia="Times New Roman" w:hAnsi="Times New Roman"/>
          <w:sz w:val="18"/>
          <w:szCs w:val="18"/>
          <w:color w:val="auto"/>
        </w:rPr>
        <w:t>Delivery of the notes is expected to be made against payment</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therefor on or about           , 2022, which is T+       . Under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Rule 15c6-1 under the Exchange Act, trades in the secondary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market generally are required to settle in two business days,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unless the parties to any such trade expressly agree otherwise.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See “Underwriting.”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An investment in our notes involves a high degree of risk. You should carefully consider the following risks, as well as the risks described in our most recent Annual Report on Form 10-K and subsequent Quarterly Reports on Form 10-Q and other filings we make with the SEC incorporated by reference into this prospectus supplement and the accompanying prospectus, and all of the other information contained in or incorporated by reference into this prospectus supplement and the accompanying prospectus, before deciding to invest in our notes. Our business, financial condition and results of operations could be materially and adversely affected by any of these risks. The risks described below and those incorporated by reference into this prospectus supplement and the accompanying prospectus are not the only ones facing us. Additional risks not presently known to us or which we currently consider immaterial also may adversely affect us.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Notes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enough cash flow to meet our debt obligations.</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We expect our earnings and cash flow to vary significantly from year to year due to the nature of our industry. As a result, the amount of debt that we can manage in some periods may not be appropriate for us in other periods. Additionally, our future cash flow may be insufficient to meet our debt obligations and other commitments, including our obligations under the notes. Any insufficiency could negatively impact our business. A range of economic, competitive, business and industry factors and the commodity pricing environment will affect our future financial performance, and, as a result, our ability to generate cash flow from operations and to service our debt, including our obligations under the notes. If we do not generate enough cash flow from operations to satisfy our debt obligations, we may have to undertake alternative financing plans, such as:</w:t>
      </w:r>
    </w:p>
    <w:p>
      <w:pPr>
        <w:spacing w:after="0" w:line="77"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or restructuring our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delaying capital investments;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w:t>
      </w:r>
    </w:p>
    <w:p>
      <w:pPr>
        <w:spacing w:after="0" w:line="15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However, we cannot assure you that we will be able to obtain alternative financing or that undertaking alternative financing plans, if necessary, would allow us to meet our debt obligations. Our inability to generate sufficient cash flow to satisfy our debt obligations, including our obligations under the notes, or to obtain alternative financing, could materially and adversely affect our business, financial condition, results of operations and prospects.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and our subsidiaries may incur substantially more debt.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September 30, 2022, after giving effect to the Recent Debt Transactions, the issuance of the notes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offered hereby and the application of the net proceeds therefrom, in each case as described in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we would have had approximately $            billion of total debt.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30, 2022, the Subsidiary Guarantor had approximately $235.0 million in outstanding borrowings,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$3.0 million in outstanding letters of credit (which reduce available borrowings under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credit agreement on a dollar for dollar basis) and approximately $1.4 billion available for future borrowings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its revolving credit facility, which we guarantee. We and our subsidiaries may be able to incur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significant additional indebtedness in the future and the indenture governing the notes offered hereby will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limit the amount of indebtedness that we or our subsidiaries may incur. Although the credit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governs the Subsidiary Guarantor’s revolving credit facility contains restrictions on the incurrence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indebtedness by certain of our subsidiaries, it does not restrict the Company or the Subsidiary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Guarantor from incurring additional debt, the restrictions are subject to a number of qualifications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exceptions, and the additional indebtedness incurred in compliance with these restrictions could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substantial. In addition, if we or the Subsidiary Guarantor incur any additional indebtedness that ranks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equally with the notes (or with a guarantee thereof), the holders of that debt will be entitled to share ratably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you in any proceeds distributed in connection with any insolvency, liquidation, reorganization,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dissolution or other winding up of the Company or the Subsidiary Guarantor. This may have the effect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reducing the amount of</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proceeds paid to you. These restrictions also will not prevent us from incurring obligations that do not constitute indebtedness or debt, as defined in the applicable agreement. Further, if new debt is added to our current debt levels, the related risks that we now face could intensify.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indebtedness of our subsidiaries that do not guarantee the notes.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subsidiaries are separate and distinct legal entities. Our subsidiaries (other than the Subsidiary Guarantor) have no obligation to pay amounts due on the notes. Holders of the notes will not have any claim as a creditor against any of our subsidiaries (other than the Subsidiary Guarantor), and indebtedness and other liabilities, including trade payables, of those subsidiaries will be structurally senior to claims of holders of the notes against those subsidiaries. Under certain circumstances, the Subsidiary Guarantor may be released as a guarantor under the Indenture, and upon such release, the Subsidiary Guarantor will have no obligation to pay the amounts due under the notes and the notes will be structurally subordinated to the indebtedness and other liabilities of the Subsidiary Guarantor, including any indebtedness incurred under the revolving credit agreement.</w:t>
      </w:r>
    </w:p>
    <w:p>
      <w:pPr>
        <w:spacing w:after="0" w:line="34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Viper’s operating subsidiary, Viper Energy Partners LLC (“Viper OpCo”), is the borrower under a secured revolving credit facility. The obligations under Viper OpCo’s revolving credit facility are guaranteed by Viper and are secured by substantially all the assets of Viper and Viper OpCo. Accordingly, claims of lenders under Viper OpCo’s revolving credit facility will be structurally senior to claims of holders of the notes against Viper and Viper OpCo. In addition, the outstanding 5.375% Senior Notes due 2027 in the aggregate principal amount of $430.4 million issued by Viper (the “Viper Notes”), which are guaranteed by Viper OpCo, are structurally senior to claims of holders of the notes offered in this offering. As of September 30, 2022, Viper had $675.4 million of total indebtedness (consisting of $430.4 million aggregate principal amount of the Viper Notes and $245.0 million in outstanding borrowings under Viper OpCo’s revolving credit facility), and Viper OpCo had $255.0 million of available borrowing capacity under its revolving credit facility.</w:t>
      </w:r>
    </w:p>
    <w:p>
      <w:pPr>
        <w:spacing w:after="0" w:line="32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Following the closing of the Rattler Merger, the Rattler Notes remained outstanding and were guaranteed by Rattler’s operating subsidiary, Rattler Midstream Operating LLC (“Rattler OpCo”), Rattler Holdings LLC, Tall City Towers LLC, Rattler OMOG LLC, Rattler Ajax Processing LLC and Rattler WTG LLC. The Rattler Notes were structurally senior to claims of holders of the notes offered in this offering. As of September 30, 2022, Rattler had $500.0 million of total indebtedness outstanding (consisting of $500.0 million aggregate principal amount of the Rattler Notes). All of the Rattler Notes were redeemed, effective as of November 1, 2022, with a portion of the net proceeds from the October 2022 Senior Notes Offering.</w:t>
      </w:r>
    </w:p>
    <w:p>
      <w:pPr>
        <w:spacing w:after="0" w:line="33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At September 30, 2022, after giving effect to the Rattler Notes Redemption, Viper, Viper OpCo, Rattler and Rattler OpCo collectively would have had $783.7 million of indebtedness and other outstanding liabilities, including trade payables, Viper OpCo’s borrowings under its revolving credit facility and Viper’s guarantee thereof and the Viper Notes and Viper OpCo’s guarantee thereof.</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QEP Resources, Inc. (“QEP”) became our wholly owned subsidiary as a result of our merger with QEP in March 2021 and, as of September 30, 2022, remained the issuer of 5.250% Senior Notes due 2023 (the “QEP 2023 Notes”) and 5.625% Senior Notes due 2026 (the “QEP 2026 Notes” and, together with the QEP 2023 Notes, the “QEP Notes”). As of September 30, 2022, there were $24.0 million in aggregate principal amount of the QEP Notes outstanding. The outstanding QEP Notes are structurally senior to claims of holders of the notes offered in this offering.</w:t>
      </w:r>
    </w:p>
    <w:p>
      <w:pPr>
        <w:spacing w:after="0" w:line="10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 significant portion of our operations is conducted through our subsidiaries. As a result, our ability to service our debt is largely dependent on the earnings of our subsidiaries and the payment of those earnings to us in the form of dividends, distributions, loans or advances and through repayment of loans or advances from us. The Subsidiary Guarantor will guarantee our obligations under the notes. However, our other subsidiaries do not have any obligation to pay amounts due on the notes or our other indebtedness or to make funds available for that purpose. Payments to us by our subsidiaries will be contingent upon our subsidiaries’ earnings and other business considerations and may be subject to statutory or contractual restrictions.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be unsecured and effectively subordinated to the claims of any existing and future secured creditors to the extent of the value of the collateral pledged to such creditors.</w:t>
      </w:r>
    </w:p>
    <w:p>
      <w:pPr>
        <w:spacing w:after="0" w:line="7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notes will be general unsecured senior obligations of the Company and the Subsidiary Guarantor. The notes will be effectively subordinated to all of our and the Subsidiary Guarantor’s secured indebtedness, if any, to the extent of the value of the collateral securing such indebtedness. In the event of bankruptcy, liquidation, reorganization or other winding up of the Company or the Subsidiary Guarantor or upon a default in payment with respect to, or the acceleration of, any senior secured indebtedness, the assets of the Company or the Subsidiary Guarantor that secure such senior secured indebtedness will be available to pay obligations on the notes only after all obligations under such senior secured indebtedness have been repaid in full from such assets. We advise you that there may not be sufficient assets remaining to pay amounts due on any or all of the notes then outstanding. As of September 30, 2022, the Company and the Subsidiary Guarantor had no secured indebtedness outstanding.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the debt markets may adversely affect the market price of the notes.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market price for the notes will depend on a number of factors, including:</w:t>
      </w:r>
    </w:p>
    <w:p>
      <w:pPr>
        <w:spacing w:after="0" w:line="104"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operating performance and future prospects;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 and global and domestic economies.</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Such fluctuations could have an adverse effect on the price of the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notes.</w:t>
      </w:r>
    </w:p>
    <w:p>
      <w:pPr>
        <w:spacing w:after="0" w:line="178" w:lineRule="exact"/>
        <w:rPr>
          <w:sz w:val="20"/>
          <w:szCs w:val="20"/>
          <w:color w:val="auto"/>
        </w:rPr>
      </w:pPr>
    </w:p>
    <w:p>
      <w:pPr>
        <w:ind w:left="1260" w:right="6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guarantee provided by the Subsidiary Guarantor may not be enforceable and, under specific circumstances, federal and state courts may void the guarantee and require holders to return payments received from the Subsidiary Guarantor.</w:t>
      </w:r>
    </w:p>
    <w:p>
      <w:pPr>
        <w:spacing w:after="0" w:line="101"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Although the notes will be guaranteed by the Subsidiary Guarantor, a court could void or subordinate the Subsidiary Guarantor’s guarantee under federal or state fraudulent conveyance laws if existing or future creditors of any such guarantor were successful in establishing that such guarantee was incurred with fraudulent intent or the Subsidiary Guarantor did not receive fair consideration or reasonably equivalent value for issuing its guarantee and either:</w:t>
      </w:r>
    </w:p>
    <w:p>
      <w:pPr>
        <w:spacing w:after="0" w:line="87" w:lineRule="exact"/>
        <w:rPr>
          <w:sz w:val="20"/>
          <w:szCs w:val="20"/>
          <w:color w:val="auto"/>
        </w:rPr>
      </w:pPr>
    </w:p>
    <w:p>
      <w:pPr>
        <w:ind w:left="1800" w:right="10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such incurrence or subsequently became insolvent for other reasons;</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or believed or reasonably should have believed that it would, incur debts beyond its ability to pay such debts as they mature; or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a defendant in an action for money damages, or had a judgment for money damages docketed against it if, in either case, after final judgment, the judgment is unsatisfied (as all of the foregoing terms may be defined in or interpreted under the relevant fraudulent transfer or conveyance statutes).</w:t>
      </w:r>
    </w:p>
    <w:p>
      <w:pPr>
        <w:spacing w:after="0" w:line="11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In such event, any payment by the Subsidiary Guarantor pursuant to its guarantee could be subordinated or voided and required to be returned to the Subsidiary Guarantor or to a fund for the benefit of the Subsidiary Guarantor’s creditors. The measures of insolvency for purposes of determining</w:t>
      </w:r>
    </w:p>
    <w:p>
      <w:pPr>
        <w:spacing w:after="0" w:line="3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66" w:lineRule="auto"/>
        <w:rPr>
          <w:sz w:val="20"/>
          <w:szCs w:val="20"/>
          <w:color w:val="auto"/>
        </w:rPr>
      </w:pPr>
      <w:r>
        <w:rPr>
          <w:rFonts w:ascii="Times New Roman" w:cs="Times New Roman" w:eastAsia="Times New Roman" w:hAnsi="Times New Roman"/>
          <w:sz w:val="18"/>
          <w:szCs w:val="18"/>
          <w:color w:val="auto"/>
        </w:rPr>
        <w:t>whether a fraudulent conveyance occurred would vary depending upon the laws of the relevant jurisdiction and upon the valuation assumptions and methodology applied by the court. Generally, however, a company would be considered insolvent for purposes of the foregoing if:</w:t>
      </w:r>
    </w:p>
    <w:p>
      <w:pPr>
        <w:spacing w:after="0" w:line="68" w:lineRule="exact"/>
        <w:rPr>
          <w:sz w:val="20"/>
          <w:szCs w:val="20"/>
          <w:color w:val="auto"/>
        </w:rPr>
      </w:pPr>
    </w:p>
    <w:p>
      <w:pPr>
        <w:ind w:left="1800" w:right="8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company’s debts, including contingent, unliquidated and unmatured liabilities, is greater than such company’s property at fair valuation;</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company’s assets is less than the amount that will be required to pay the probable liability on its existing debts, including contingent liabilities, as they become absolute and matured;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could not pay its debts or contingent liabilities as they become due.</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no assurance as to what standard a court would use to determine whether or not the Subsidiary Guarantor would be solvent at the relevant time, or regardless of the standard used, that its guarantee would not be voided or subordinated to the Subsidiary Guarantor’s other debt. If such a case were to occur, the guarantee could be subject to the claim that, since the guarantee was incurred for the benefit of the Company and only indirectly for the benefit of the Subsidiary Guarantor, the obligations of the Subsidiary Guarantor were incurred for less than fair consideration.</w:t>
      </w:r>
    </w:p>
    <w:p>
      <w:pPr>
        <w:spacing w:after="0" w:line="12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the Subsidiary Guarantor’s guarantee is voided as a fraudulent conveyance or found to be unenforceable for any other reason, holders of the notes will not have a claim against the Subsidiary Guarantor and will only be a creditor of the Company. The notes then would in effect be structurally subordinated to all liabilities of the Subsidiary Guarantor. Energen Corporation (“Energen”) became our wholly owned subsidiary as a result of our merger with Energen Resources, Inc. in November 2018 and, as of September 30, 2022, remained the issuer of its 7.125% Medium-term Notes, Series B, due 2028 (the “Energen Notes”). In connection with the internal restructuring of our subsidiaries completed as of June 30, 2021, the Subsidiary Guarantor became the successor issuer under the indenture governing the Energen Notes. As of September 30, 2022, there was $73.0 million of the Energen Notes outstanding.</w:t>
      </w:r>
    </w:p>
    <w:p>
      <w:pPr>
        <w:spacing w:after="0" w:line="184"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 active trading market does not develop for the notes, you may be unable to sell your notes or to sell your notes at a price that you deem sufficient.</w:t>
      </w:r>
    </w:p>
    <w:p>
      <w:pPr>
        <w:spacing w:after="0" w:line="7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notes will be a new issue of securities for which there currently is no established trading markets. We do not intend to apply for the listing of the notes on any securities exchange. While the underwriters of the notes have advised us that they intend to make a market in the notes, the underwriters will not be obligated to do so and may discontinue any market making activities at any time in their sole discretion and without notice. No assurance can be given:</w:t>
      </w:r>
    </w:p>
    <w:p>
      <w:pPr>
        <w:spacing w:after="0" w:line="75"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trading market for the notes will develop or continue;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liquidity of any market that does develop; or</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your ability to sell any notes you may own or the price at which you may be able to sell your notes.</w:t>
      </w:r>
    </w:p>
    <w:p>
      <w:pPr>
        <w:spacing w:after="0" w:line="9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If an active trading market for the notes does not develop, the market price and liquidity of the notes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million, after deducting the underwriters’ discounts and estimated offering expenses. We intend to use these net proceeds for general corporate purposes, including, without limitation, paying a portion of the cash consideration for the Pending Lario Acquisition upon closing (if it occurs).</w:t>
      </w:r>
    </w:p>
    <w:p>
      <w:pPr>
        <w:spacing w:after="0" w:line="112"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This offering is not contingent upon the closing of the Pending Lario Acquisition. See “Recent Developments — Pending Lario Acquisition” and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as of September 30, 2022, our cash and cash equivalents and capitalization (i) on a historical basis, (ii) on an as adjusted basis after giving effect to the Recent Debt Transactions and (iii) on an as further adjusted basis to give effect to this offering and the application of the net proceeds from the offering as described in “Use of Proceeds.”</w:t>
      </w:r>
    </w:p>
    <w:p>
      <w:pPr>
        <w:spacing w:after="0" w:line="110" w:lineRule="exact"/>
        <w:rPr>
          <w:sz w:val="20"/>
          <w:szCs w:val="20"/>
          <w:color w:val="auto"/>
        </w:rPr>
      </w:pPr>
    </w:p>
    <w:p>
      <w:pPr>
        <w:ind w:left="1260" w:right="559" w:firstLine="360"/>
        <w:spacing w:after="0" w:line="24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You should read this table along with “Use of Proceeds” in this prospectus supplement and “Management’s Discussion and Analysis of Financial Condition and Results of Operations,” our consolidated financial statements and the related notes and the other financial information contained in our </w:t>
      </w:r>
      <w:hyperlink r:id="rId32">
        <w:r>
          <w:rPr>
            <w:rFonts w:ascii="Times New Roman" w:cs="Times New Roman" w:eastAsia="Times New Roman" w:hAnsi="Times New Roman"/>
            <w:sz w:val="18"/>
            <w:szCs w:val="18"/>
            <w:u w:val="single" w:color="auto"/>
            <w:color w:val="0000EE"/>
          </w:rPr>
          <w:t>Annual Report on Form 10-K for the year ended December 31,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subsequent Quarterly Reports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Form 10-Q, which are incorporated by reference into this prospectus supplement.</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21"/>
                <w:szCs w:val="21"/>
                <w:color w:val="auto"/>
              </w:rPr>
            </w:pPr>
          </w:p>
        </w:tc>
        <w:tc>
          <w:tcPr>
            <w:tcW w:w="920" w:type="dxa"/>
            <w:vAlign w:val="bottom"/>
            <w:gridSpan w:val="4"/>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Actual  </w:t>
            </w:r>
            <w:r>
              <w:rPr>
                <w:rFonts w:ascii="Times New Roman" w:cs="Times New Roman" w:eastAsia="Times New Roman" w:hAnsi="Times New Roman"/>
                <w:sz w:val="28"/>
                <w:szCs w:val="28"/>
                <w:b w:val="1"/>
                <w:bCs w:val="1"/>
                <w:color w:val="auto"/>
                <w:vertAlign w:val="subscript"/>
              </w:rPr>
              <w:t>​</w:t>
            </w:r>
          </w:p>
        </w:tc>
        <w:tc>
          <w:tcPr>
            <w:tcW w:w="212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As Adjusted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Further Adjusted</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79"/>
              <w:spacing w:after="0" w:line="216" w:lineRule="exact"/>
              <w:rPr>
                <w:sz w:val="20"/>
                <w:szCs w:val="20"/>
                <w:color w:val="auto"/>
              </w:rPr>
            </w:pPr>
            <w:r>
              <w:rPr>
                <w:rFonts w:ascii="Times New Roman" w:cs="Times New Roman" w:eastAsia="Times New Roman" w:hAnsi="Times New Roman"/>
                <w:sz w:val="25"/>
                <w:szCs w:val="25"/>
                <w:color w:val="auto"/>
                <w:vertAlign w:val="subscript"/>
              </w:rPr>
              <w:t>590</w:t>
            </w:r>
            <w:r>
              <w:rPr>
                <w:rFonts w:ascii="Times New Roman" w:cs="Times New Roman" w:eastAsia="Times New Roman" w:hAnsi="Times New Roman"/>
                <w:sz w:val="10"/>
                <w:szCs w:val="10"/>
                <w:color w:val="auto"/>
              </w:rPr>
              <w:t>(2)</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39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0" w:type="dxa"/>
            <w:vAlign w:val="bottom"/>
            <w:gridSpan w:val="2"/>
            <w:shd w:val="clear" w:color="auto" w:fill="CCEEFF"/>
          </w:tcPr>
          <w:p>
            <w:pPr>
              <w:ind w:left="40"/>
              <w:spacing w:after="0" w:line="61"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280" w:type="dxa"/>
            <w:vAlign w:val="bottom"/>
            <w:gridSpan w:val="2"/>
            <w:shd w:val="clear" w:color="auto" w:fill="CCEEFF"/>
          </w:tcPr>
          <w:p>
            <w:pPr>
              <w:ind w:left="80"/>
              <w:spacing w:after="0" w:line="61"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139"/>
              <w:spacing w:after="0" w:line="61"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shd w:val="clear" w:color="auto" w:fill="CCEEFF"/>
          </w:tcPr>
          <w:p>
            <w:pPr>
              <w:spacing w:after="0" w:line="61"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 (including current maturities of long-term debt):</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77"/>
        </w:trPr>
        <w:tc>
          <w:tcPr>
            <w:tcW w:w="5220" w:type="dxa"/>
            <w:vAlign w:val="bottom"/>
            <w:gridSpan w:val="2"/>
            <w:vMerge w:val="continue"/>
          </w:tcPr>
          <w:p>
            <w:pPr>
              <w:spacing w:after="0"/>
              <w:rPr>
                <w:sz w:val="15"/>
                <w:szCs w:val="15"/>
                <w:color w:val="auto"/>
              </w:rPr>
            </w:pPr>
          </w:p>
        </w:tc>
        <w:tc>
          <w:tcPr>
            <w:tcW w:w="4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 ​​ ​</w:t>
            </w:r>
          </w:p>
        </w:tc>
        <w:tc>
          <w:tcPr>
            <w:tcW w:w="3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5.250% Senior Notes due 2023</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3.250% Senior Notes due 2026</w:t>
            </w:r>
          </w:p>
        </w:tc>
        <w:tc>
          <w:tcPr>
            <w:tcW w:w="12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5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5.625% Senior Notes due 2026</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7.125% Medium-term Notes, Series B, due 2028</w:t>
            </w:r>
          </w:p>
        </w:tc>
        <w:tc>
          <w:tcPr>
            <w:tcW w:w="12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3.500% Senior Notes due 2029</w:t>
            </w:r>
          </w:p>
        </w:tc>
        <w:tc>
          <w:tcPr>
            <w:tcW w:w="128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1,021​​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1,021 ​​ ​</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1,021</w:t>
            </w:r>
          </w:p>
        </w:tc>
        <w:tc>
          <w:tcPr>
            <w:tcW w:w="2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3.125% Senior Notes due 2031</w:t>
            </w:r>
          </w:p>
        </w:tc>
        <w:tc>
          <w:tcPr>
            <w:tcW w:w="12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5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6.250% Senior Notes due 2033</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1,100 ​​ ​</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1,100</w:t>
            </w:r>
          </w:p>
        </w:tc>
        <w:tc>
          <w:tcPr>
            <w:tcW w:w="2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4.400% Senior Notes due 2051</w:t>
            </w:r>
          </w:p>
        </w:tc>
        <w:tc>
          <w:tcPr>
            <w:tcW w:w="12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5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4.250% Senior Notes due 2052</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 Senior Notes due 2053 offered hereby</w:t>
            </w:r>
            <w:r>
              <w:rPr>
                <w:rFonts w:ascii="Times New Roman" w:cs="Times New Roman" w:eastAsia="Times New Roman" w:hAnsi="Times New Roman"/>
                <w:sz w:val="23"/>
                <w:szCs w:val="23"/>
                <w:color w:val="auto"/>
                <w:vertAlign w:val="superscript"/>
              </w:rPr>
              <w:t>(4)</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Viper’s 5.375% Senior Notes due 2027</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Rattler’s 5.625% Senior Notes due 2025</w:t>
            </w:r>
            <w:r>
              <w:rPr>
                <w:rFonts w:ascii="Times New Roman" w:cs="Times New Roman" w:eastAsia="Times New Roman" w:hAnsi="Times New Roman"/>
                <w:sz w:val="23"/>
                <w:szCs w:val="23"/>
                <w:color w:val="auto"/>
                <w:vertAlign w:val="superscript"/>
              </w:rPr>
              <w:t>(5)</w:t>
            </w:r>
          </w:p>
        </w:tc>
        <w:tc>
          <w:tcPr>
            <w:tcW w:w="1280" w:type="dxa"/>
            <w:vAlign w:val="bottom"/>
          </w:tcPr>
          <w:p>
            <w:pPr>
              <w:spacing w:after="0"/>
              <w:rPr>
                <w:sz w:val="23"/>
                <w:szCs w:val="23"/>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DrillCo Agreement</w:t>
            </w:r>
            <w:r>
              <w:rPr>
                <w:rFonts w:ascii="Times New Roman" w:cs="Times New Roman" w:eastAsia="Times New Roman" w:hAnsi="Times New Roman"/>
                <w:sz w:val="23"/>
                <w:szCs w:val="23"/>
                <w:color w:val="auto"/>
                <w:vertAlign w:val="superscript"/>
              </w:rPr>
              <w:t>(6)</w:t>
            </w:r>
          </w:p>
        </w:tc>
        <w:tc>
          <w:tcPr>
            <w:tcW w:w="1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(36)​​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Unamortized discount costs</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(27)​​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Unamortized premium costs</w:t>
            </w:r>
          </w:p>
        </w:tc>
        <w:tc>
          <w:tcPr>
            <w:tcW w:w="12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basis adjustment of dedesignated interest rate swap</w:t>
            </w: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agreements</w:t>
            </w:r>
          </w:p>
        </w:tc>
        <w:tc>
          <w:tcPr>
            <w:tcW w:w="12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(110)​​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2"/>
        </w:trPr>
        <w:tc>
          <w:tcPr>
            <w:tcW w:w="3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Subsidiary Guarantor’s revolving credit facility</w:t>
            </w:r>
          </w:p>
        </w:tc>
        <w:tc>
          <w:tcPr>
            <w:tcW w:w="1280" w:type="dxa"/>
            <w:vAlign w:val="bottom"/>
          </w:tcPr>
          <w:p>
            <w:pPr>
              <w:jc w:val="right"/>
              <w:ind w:right="1082"/>
              <w:spacing w:after="0"/>
              <w:rPr>
                <w:sz w:val="20"/>
                <w:szCs w:val="20"/>
                <w:color w:val="auto"/>
              </w:rPr>
            </w:pPr>
            <w:r>
              <w:rPr>
                <w:rFonts w:ascii="Times New Roman" w:cs="Times New Roman" w:eastAsia="Times New Roman" w:hAnsi="Times New Roman"/>
                <w:sz w:val="12"/>
                <w:szCs w:val="12"/>
                <w:color w:val="auto"/>
                <w:w w:val="85"/>
              </w:rPr>
              <w:t>(7)</w:t>
            </w: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00" w:type="dxa"/>
            <w:vAlign w:val="bottom"/>
          </w:tcPr>
          <w:p>
            <w:pPr>
              <w:jc w:val="right"/>
              <w:ind w:right="279"/>
              <w:spacing w:after="0"/>
              <w:rPr>
                <w:sz w:val="20"/>
                <w:szCs w:val="20"/>
                <w:color w:val="auto"/>
              </w:rPr>
            </w:pPr>
            <w:r>
              <w:rPr>
                <w:rFonts w:ascii="Times New Roman" w:cs="Times New Roman" w:eastAsia="Times New Roman" w:hAnsi="Times New Roman"/>
                <w:sz w:val="12"/>
                <w:szCs w:val="12"/>
                <w:color w:val="auto"/>
                <w:w w:val="85"/>
              </w:rPr>
              <w:t>(2)</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500" w:type="dxa"/>
            <w:vAlign w:val="bottom"/>
          </w:tcPr>
          <w:p>
            <w:pPr>
              <w:jc w:val="right"/>
              <w:ind w:right="139"/>
              <w:spacing w:after="0" w:line="10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Viper revolving credit facility</w:t>
            </w:r>
            <w:r>
              <w:rPr>
                <w:rFonts w:ascii="Times New Roman" w:cs="Times New Roman" w:eastAsia="Times New Roman" w:hAnsi="Times New Roman"/>
                <w:sz w:val="23"/>
                <w:szCs w:val="23"/>
                <w:color w:val="auto"/>
                <w:vertAlign w:val="superscript"/>
              </w:rPr>
              <w:t>(8)</w:t>
            </w:r>
          </w:p>
        </w:tc>
        <w:tc>
          <w:tcPr>
            <w:tcW w:w="12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line="311"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perscript"/>
              </w:rPr>
              <w:t>​</w:t>
            </w:r>
          </w:p>
        </w:tc>
        <w:tc>
          <w:tcPr>
            <w:tcW w:w="600" w:type="dxa"/>
            <w:vAlign w:val="bottom"/>
            <w:gridSpan w:val="3"/>
            <w:shd w:val="clear" w:color="auto" w:fill="CCEEFF"/>
          </w:tcPr>
          <w:p>
            <w:pPr>
              <w:jc w:val="right"/>
              <w:spacing w:after="0" w:line="311" w:lineRule="exact"/>
              <w:rPr>
                <w:sz w:val="20"/>
                <w:szCs w:val="20"/>
                <w:color w:val="auto"/>
              </w:rPr>
            </w:pPr>
            <w:r>
              <w:rPr>
                <w:rFonts w:ascii="Times New Roman" w:cs="Times New Roman" w:eastAsia="Times New Roman" w:hAnsi="Times New Roman"/>
                <w:sz w:val="18"/>
                <w:szCs w:val="18"/>
                <w:color w:val="auto"/>
              </w:rPr>
              <w:t>245</w:t>
            </w:r>
            <w:r>
              <w:rPr>
                <w:rFonts w:ascii="Times New Roman" w:cs="Times New Roman" w:eastAsia="Times New Roman" w:hAnsi="Times New Roman"/>
                <w:sz w:val="35"/>
                <w:szCs w:val="35"/>
                <w:color w:val="auto"/>
                <w:vertAlign w:val="subscript"/>
              </w:rPr>
              <w:t>​​ ​</w:t>
            </w:r>
          </w:p>
        </w:tc>
        <w:tc>
          <w:tcPr>
            <w:tcW w:w="280" w:type="dxa"/>
            <w:vAlign w:val="bottom"/>
            <w:gridSpan w:val="2"/>
            <w:shd w:val="clear" w:color="auto" w:fill="CCEEFF"/>
          </w:tcPr>
          <w:p>
            <w:pPr>
              <w:ind w:left="80"/>
              <w:spacing w:after="0" w:line="311"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line="311"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right w:val="single" w:sz="8" w:color="CCEEFF"/>
            </w:tcBorders>
            <w:shd w:val="clear" w:color="auto" w:fill="CCEEFF"/>
          </w:tcPr>
          <w:p>
            <w:pPr>
              <w:spacing w:after="0"/>
              <w:rPr>
                <w:sz w:val="24"/>
                <w:szCs w:val="24"/>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debt, net</w:t>
            </w:r>
          </w:p>
        </w:tc>
        <w:tc>
          <w:tcPr>
            <w:tcW w:w="1280" w:type="dxa"/>
            <w:vAlign w:val="bottom"/>
          </w:tcPr>
          <w:p>
            <w:pPr>
              <w:spacing w:after="0"/>
              <w:rPr>
                <w:sz w:val="12"/>
                <w:szCs w:val="12"/>
                <w:color w:val="auto"/>
              </w:rPr>
            </w:pPr>
          </w:p>
        </w:tc>
        <w:tc>
          <w:tcPr>
            <w:tcW w:w="1000" w:type="dxa"/>
            <w:vAlign w:val="bottom"/>
            <w:gridSpan w:val="5"/>
            <w:vMerge w:val="restart"/>
          </w:tcPr>
          <w:p>
            <w:pPr>
              <w:jc w:val="right"/>
              <w:spacing w:after="0" w:line="290"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3"/>
                <w:szCs w:val="33"/>
                <w:color w:val="auto"/>
                <w:vertAlign w:val="superscript"/>
              </w:rPr>
              <w:t>​ 5,357</w:t>
            </w:r>
            <w:r>
              <w:rPr>
                <w:rFonts w:ascii="Times New Roman" w:cs="Times New Roman" w:eastAsia="Times New Roman" w:hAnsi="Times New Roman"/>
                <w:sz w:val="17"/>
                <w:szCs w:val="17"/>
                <w:color w:val="auto"/>
              </w:rPr>
              <w:t>​​ ​</w:t>
            </w:r>
          </w:p>
        </w:tc>
        <w:tc>
          <w:tcPr>
            <w:tcW w:w="660" w:type="dxa"/>
            <w:vAlign w:val="bottom"/>
            <w:gridSpan w:val="3"/>
            <w:vMerge w:val="restart"/>
          </w:tcPr>
          <w:p>
            <w:pPr>
              <w:ind w:left="8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 5,947</w:t>
            </w:r>
          </w:p>
        </w:tc>
        <w:tc>
          <w:tcPr>
            <w:tcW w:w="500" w:type="dxa"/>
            <w:vAlign w:val="bottom"/>
          </w:tcPr>
          <w:p>
            <w:pPr>
              <w:jc w:val="right"/>
              <w:ind w:right="279"/>
              <w:spacing w:after="0"/>
              <w:rPr>
                <w:sz w:val="20"/>
                <w:szCs w:val="20"/>
                <w:color w:val="auto"/>
              </w:rPr>
            </w:pPr>
            <w:r>
              <w:rPr>
                <w:rFonts w:ascii="Times New Roman" w:cs="Times New Roman" w:eastAsia="Times New Roman" w:hAnsi="Times New Roman"/>
                <w:sz w:val="12"/>
                <w:szCs w:val="12"/>
                <w:color w:val="auto"/>
                <w:w w:val="85"/>
              </w:rPr>
              <w:t>(2)</w:t>
            </w:r>
          </w:p>
        </w:tc>
        <w:tc>
          <w:tcPr>
            <w:tcW w:w="220" w:type="dxa"/>
            <w:vAlign w:val="bottom"/>
            <w:vMerge w:val="restart"/>
          </w:tcPr>
          <w:p>
            <w:pPr>
              <w:spacing w:after="0" w:line="291"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p>
        </w:tc>
        <w:tc>
          <w:tcPr>
            <w:tcW w:w="3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49"/>
        </w:trPr>
        <w:tc>
          <w:tcPr>
            <w:tcW w:w="39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50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-170815</wp:posOffset>
            </wp:positionV>
            <wp:extent cx="145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46888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-4088130</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-4088130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p>
      <w:pPr>
        <w:ind w:left="1620" w:hanging="179"/>
        <w:spacing w:after="0" w:line="282" w:lineRule="auto"/>
        <w:rPr>
          <w:sz w:val="20"/>
          <w:szCs w:val="20"/>
          <w:color w:val="auto"/>
        </w:rPr>
      </w:pPr>
      <w:r>
        <w:rPr>
          <w:rFonts w:ascii="Times New Roman" w:cs="Times New Roman" w:eastAsia="Times New Roman" w:hAnsi="Times New Roman"/>
          <w:sz w:val="18"/>
          <w:szCs w:val="18"/>
          <w:color w:val="auto"/>
        </w:rPr>
        <w:t>Common stock, $0.01 par value, 400,000,000 shares authorized, 177,551,347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3437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2"/>
                <w:szCs w:val="12"/>
                <w:color w:val="auto"/>
                <w:w w:val="85"/>
              </w:rPr>
              <w:t>(2)</w:t>
            </w: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jc w:val="right"/>
              <w:ind w:right="41"/>
              <w:spacing w:after="0" w:line="17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​13,646​​ ​</w:t>
            </w:r>
          </w:p>
        </w:tc>
        <w:tc>
          <w:tcPr>
            <w:tcW w:w="10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 ​13,646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​13,646</w:t>
            </w:r>
          </w:p>
        </w:tc>
        <w:tc>
          <w:tcPr>
            <w:tcW w:w="180" w:type="dxa"/>
            <w:vAlign w:val="bottom"/>
          </w:tcPr>
          <w:p>
            <w:pPr>
              <w:spacing w:after="0"/>
              <w:rPr>
                <w:sz w:val="20"/>
                <w:szCs w:val="20"/>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8"/>
        </w:trPr>
        <w:tc>
          <w:tcPr>
            <w:tcW w:w="380" w:type="dxa"/>
            <w:vAlign w:val="bottom"/>
          </w:tcPr>
          <w:p>
            <w:pPr>
              <w:spacing w:after="0" w:line="268"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500" w:type="dxa"/>
            <w:vAlign w:val="bottom"/>
          </w:tcPr>
          <w:p>
            <w:pPr>
              <w:jc w:val="right"/>
              <w:spacing w:after="0" w:line="268" w:lineRule="exact"/>
              <w:rPr>
                <w:sz w:val="20"/>
                <w:szCs w:val="20"/>
                <w:color w:val="auto"/>
              </w:rPr>
            </w:pPr>
            <w:r>
              <w:rPr>
                <w:rFonts w:ascii="Times New Roman" w:cs="Times New Roman" w:eastAsia="Times New Roman" w:hAnsi="Times New Roman"/>
                <w:sz w:val="17"/>
                <w:szCs w:val="17"/>
                <w:color w:val="auto"/>
              </w:rPr>
              <w:t>195</w:t>
            </w:r>
            <w:r>
              <w:rPr>
                <w:rFonts w:ascii="Times New Roman" w:cs="Times New Roman" w:eastAsia="Times New Roman" w:hAnsi="Times New Roman"/>
                <w:sz w:val="31"/>
                <w:szCs w:val="31"/>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line="268"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00"/>
              <w:spacing w:after="0" w:line="268"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1270</wp:posOffset>
            </wp:positionV>
            <wp:extent cx="1454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1270</wp:posOffset>
            </wp:positionV>
            <wp:extent cx="317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1270</wp:posOffset>
            </wp:positionV>
            <wp:extent cx="1797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280" w:space="240"/>
            <w:col w:w="33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5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3"/>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Diamondback Energy, Inc. stockholders’ equity</w:t>
            </w:r>
          </w:p>
        </w:tc>
        <w:tc>
          <w:tcPr>
            <w:tcW w:w="1080" w:type="dxa"/>
            <w:vAlign w:val="bottom"/>
            <w:tcBorders>
              <w:right w:val="single" w:sz="8" w:color="CCEEFF"/>
            </w:tcBorders>
            <w:gridSpan w:val="3"/>
            <w:shd w:val="clear" w:color="auto" w:fill="CCEEFF"/>
          </w:tcPr>
          <w:p>
            <w:pPr>
              <w:ind w:left="40"/>
              <w:spacing w:after="0" w:line="272"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​13,843</w:t>
            </w:r>
            <w:r>
              <w:rPr>
                <w:rFonts w:ascii="Times New Roman" w:cs="Times New Roman" w:eastAsia="Times New Roman" w:hAnsi="Times New Roman"/>
                <w:sz w:val="31"/>
                <w:szCs w:val="31"/>
                <w:color w:val="auto"/>
                <w:vertAlign w:val="subscript"/>
              </w:rPr>
              <w:t>​​ ​</w:t>
            </w:r>
          </w:p>
        </w:tc>
        <w:tc>
          <w:tcPr>
            <w:tcW w:w="1080" w:type="dxa"/>
            <w:vAlign w:val="bottom"/>
            <w:gridSpan w:val="2"/>
            <w:shd w:val="clear" w:color="auto" w:fill="CCEEFF"/>
          </w:tcPr>
          <w:p>
            <w:pPr>
              <w:jc w:val="right"/>
              <w:ind w:right="13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​13,843 </w:t>
            </w:r>
            <w:r>
              <w:rPr>
                <w:rFonts w:ascii="Times New Roman" w:cs="Times New Roman" w:eastAsia="Times New Roman" w:hAnsi="Times New Roman"/>
                <w:sz w:val="31"/>
                <w:szCs w:val="31"/>
                <w:color w:val="auto"/>
                <w:vertAlign w:val="subscript"/>
              </w:rPr>
              <w:t>​​ ​</w:t>
            </w:r>
          </w:p>
        </w:tc>
        <w:tc>
          <w:tcPr>
            <w:tcW w:w="60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​13,843</w:t>
            </w:r>
          </w:p>
        </w:tc>
        <w:tc>
          <w:tcPr>
            <w:tcW w:w="22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80" w:type="dxa"/>
            <w:vAlign w:val="bottom"/>
            <w:gridSpan w:val="3"/>
          </w:tcPr>
          <w:p>
            <w:pPr>
              <w:ind w:left="40"/>
              <w:spacing w:after="0" w:line="290"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3"/>
                <w:szCs w:val="33"/>
                <w:color w:val="auto"/>
                <w:vertAlign w:val="superscript"/>
              </w:rPr>
              <w:t>​  715</w:t>
            </w:r>
            <w:r>
              <w:rPr>
                <w:rFonts w:ascii="Times New Roman" w:cs="Times New Roman" w:eastAsia="Times New Roman" w:hAnsi="Times New Roman"/>
                <w:sz w:val="17"/>
                <w:szCs w:val="17"/>
                <w:color w:val="auto"/>
              </w:rPr>
              <w:t>​​ ​</w:t>
            </w:r>
          </w:p>
        </w:tc>
        <w:tc>
          <w:tcPr>
            <w:tcW w:w="620" w:type="dxa"/>
            <w:vAlign w:val="bottom"/>
          </w:tcPr>
          <w:p>
            <w:pP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  715</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  715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right w:val="single" w:sz="8" w:color="CCEEFF"/>
            </w:tcBorders>
            <w:gridSpan w:val="3"/>
            <w:shd w:val="clear" w:color="auto" w:fill="CCEEFF"/>
          </w:tcPr>
          <w:p>
            <w:pPr>
              <w:ind w:left="40"/>
              <w:spacing w:after="0" w:line="290" w:lineRule="exact"/>
              <w:rPr>
                <w:sz w:val="20"/>
                <w:szCs w:val="20"/>
                <w:color w:val="auto"/>
              </w:rPr>
            </w:pP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 xml:space="preserve"> ​14,558</w:t>
            </w:r>
            <w:r>
              <w:rPr>
                <w:rFonts w:ascii="Times New Roman" w:cs="Times New Roman" w:eastAsia="Times New Roman" w:hAnsi="Times New Roman"/>
                <w:sz w:val="33"/>
                <w:szCs w:val="33"/>
                <w:color w:val="auto"/>
                <w:vertAlign w:val="subscript"/>
              </w:rPr>
              <w:t>​​ ​</w:t>
            </w:r>
          </w:p>
        </w:tc>
        <w:tc>
          <w:tcPr>
            <w:tcW w:w="1080" w:type="dxa"/>
            <w:vAlign w:val="bottom"/>
            <w:gridSpan w:val="2"/>
            <w:shd w:val="clear" w:color="auto" w:fill="CCEEFF"/>
          </w:tcPr>
          <w:p>
            <w:pPr>
              <w:jc w:val="right"/>
              <w:ind w:right="13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​14,558 </w:t>
            </w:r>
            <w:r>
              <w:rPr>
                <w:rFonts w:ascii="Times New Roman" w:cs="Times New Roman" w:eastAsia="Times New Roman" w:hAnsi="Times New Roman"/>
                <w:sz w:val="33"/>
                <w:szCs w:val="33"/>
                <w:color w:val="auto"/>
                <w:vertAlign w:val="subscript"/>
              </w:rPr>
              <w:t>​​ ​</w:t>
            </w:r>
          </w:p>
        </w:tc>
        <w:tc>
          <w:tcPr>
            <w:tcW w:w="600" w:type="dxa"/>
            <w:vAlign w:val="bottom"/>
            <w:shd w:val="clear" w:color="auto" w:fill="CCEEFF"/>
          </w:tcPr>
          <w:p>
            <w:pP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​14,558</w:t>
            </w:r>
          </w:p>
        </w:tc>
        <w:tc>
          <w:tcPr>
            <w:tcW w:w="22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5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capitalization</w:t>
            </w:r>
          </w:p>
        </w:tc>
        <w:tc>
          <w:tcPr>
            <w:tcW w:w="1080" w:type="dxa"/>
            <w:vAlign w:val="bottom"/>
            <w:gridSpan w:val="3"/>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19,915</w:t>
            </w:r>
            <w:r>
              <w:rPr>
                <w:rFonts w:ascii="Times New Roman" w:cs="Times New Roman" w:eastAsia="Times New Roman" w:hAnsi="Times New Roman"/>
                <w:sz w:val="32"/>
                <w:szCs w:val="32"/>
                <w:color w:val="auto"/>
                <w:vertAlign w:val="subscript"/>
              </w:rPr>
              <w:t>​​ ​</w:t>
            </w:r>
          </w:p>
        </w:tc>
        <w:tc>
          <w:tcPr>
            <w:tcW w:w="620" w:type="dxa"/>
            <w:vAlign w:val="bottom"/>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20,505</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2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b w:val="1"/>
                <w:bCs w:val="1"/>
                <w:color w:val="auto"/>
                <w:vertAlign w:val="subscript"/>
              </w:rPr>
              <w:t>​</w:t>
            </w:r>
          </w:p>
        </w:tc>
      </w:tr>
      <w:tr>
        <w:trPr>
          <w:trHeight w:val="20"/>
        </w:trPr>
        <w:tc>
          <w:tcPr>
            <w:tcW w:w="5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-427990</wp:posOffset>
            </wp:positionV>
            <wp:extent cx="1454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-427990</wp:posOffset>
            </wp:positionV>
            <wp:extent cx="4688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18, 2022, we had a cash and cash equivalents balance of approximately $80.2 million.</w:t>
      </w:r>
    </w:p>
    <w:p>
      <w:pPr>
        <w:spacing w:after="0" w:line="90"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(i) the Pending FireBird Acquisition, expected to close on November 30, 2022, in which we expect to issue 5.86 million shares of our common stock and pay $775.0 million in cash to be funded with a portion of the net proceeds from the October 2022 Senior Notes Offering, cash on hand and borrowings under our revolving credit facility, or (ii) the Pending Lario Acquisition, expected to close on January 31, 2023, in which we expect to issue 4.18 million shares of our common stock and pay $850.0 million in cash to be funded with the net proceeds from this offering, cash on hand and borrowing under our revolving credit facility. See “Summary — Recent Development — Pending FireBird Acquisition” and “— Pending Lario Acquisition.”</w:t>
      </w:r>
    </w:p>
    <w:p>
      <w:pPr>
        <w:spacing w:after="0" w:line="43"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the Pending FireBird Acquisition, expected to close on November 30, 2022, in which we expect to issue 5.86 million shares of our common stock and pay $775.0 million in cash to be funded with a portion of the net proceeds from the October 2022 Senior Notes Offering, cash on hand and borrowings under our revolving credit facility. See “Summary — Recent Development — Pending FireBird Acquisition.”</w:t>
      </w:r>
    </w:p>
    <w:p>
      <w:pPr>
        <w:spacing w:after="0" w:line="3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notes offered hereby are issued at par.</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Rattler Notes were redeemed in full effective as of November 1, 2022.</w:t>
      </w:r>
    </w:p>
    <w:p>
      <w:pPr>
        <w:spacing w:after="0" w:line="76"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$300.0 million, to fund drilling programs on locations provided by us. As of November 18, 2022, the amount due to CEMOF related to this agreement was reduced to</w:t>
      </w:r>
    </w:p>
    <w:p>
      <w:pPr>
        <w:spacing w:after="0" w:line="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million.</w:t>
      </w:r>
    </w:p>
    <w:p>
      <w:pPr>
        <w:spacing w:after="0" w:line="58" w:lineRule="exact"/>
        <w:rPr>
          <w:rFonts w:ascii="Times New Roman" w:cs="Times New Roman" w:eastAsia="Times New Roman" w:hAnsi="Times New Roman"/>
          <w:sz w:val="18"/>
          <w:szCs w:val="18"/>
          <w:color w:val="auto"/>
        </w:rPr>
      </w:pPr>
    </w:p>
    <w:p>
      <w:pPr>
        <w:ind w:left="1620" w:right="63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letters of credit outstanding under the Subsidiary Guarantor’s revolving credit facility of $3.0 million. As of November 18, 2022, there were no outstanding borrowings under the Subsidiary Guarantor’s revolving credit facility, resulting in unused borrowing availability under such revolving credit facility of $1.6 billion.</w:t>
      </w:r>
    </w:p>
    <w:p>
      <w:pPr>
        <w:spacing w:after="0" w:line="44"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18, 2022, Viper had approximately $225.0 million of borrowings outstanding under its revolving credit facility and unused borrowing availability under such revolving credit facility of $275.0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Company will issue the notes under an Indenture to be dated as of the Issue Date (the</w:t>
      </w:r>
    </w:p>
    <w:p>
      <w:pPr>
        <w:spacing w:after="0" w:line="18"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i w:val="1"/>
          <w:iCs w:val="1"/>
          <w:color w:val="auto"/>
        </w:rPr>
        <w:t>“Base Indenture”) among itself, the Subsidiary Guarantor and Computershare Trust Company, National Association, as trustee (the “Trustee”), as supplemented by a supplemental indenture to be dated as of the Issue Date (the “Supplemental Indenture” and, together with the Base Indenture, the “Indenture”). The terms of the notes include those expressly set forth in the Indenture and those made part of the Indenture by reference to the Trust Indenture Act of 1939, as amended (the “Trust Indenture Act”). The notes will be a new series of our debt securities described in the Base Prospectus. The notes issued in this offering will be limited to $            in principal amount of senior notes due 2053 (“notes”), although we may issue an unlimited principal amount of additional notes having identical terms and conditions as the notes other than issue date, issue price, the first interest payment date and the date from which interest shall accrue (“Additional Notes”). Any Additional Notes will be part of the same series as the notes that we are currently offering and will vote on all matters with the holders of the notes. We may from time to time issue other series of debt securities under the Base Indenture, in unlimited principal amount. The obligations under the notes will be fully and unconditionally guaranteed on a senior unsecured basis by the Subsidiary Guarantor, as described under “— Subsidiary Guarantee.”</w:t>
      </w:r>
    </w:p>
    <w:p>
      <w:pPr>
        <w:spacing w:after="0" w:line="32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This Description of Notes is intended to be a useful overview of the material provisions of the notes and the Indenture. Since this Description of Notes is only a summary, you should refer to the section entitled “Description of Debt Securities” in the Base Prospectus for a description of other material terms of the notes and the Base Indenture. To the extent that any terms of the notes set forth in this Description of Notes are different than the terms described in the Base Prospectus, the terms in this Description of Notes will govern. For more information, we refer you to the notes, the Supplemental Indenture and the Base Indenture filed, or incorporated by reference, as exhibits to the registration statement, which includes this prospectus supplement, or available by request.</w:t>
      </w:r>
    </w:p>
    <w:p>
      <w:pPr>
        <w:spacing w:after="0" w:line="112"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You will find the definitions of certain capitalized terms used in this description under the heading “— Certain Definitions.” For purposes of this description, references to “the Company,” “we,” “our” and “us” refer only to Diamondback Energy, Inc. and not to its Subsidiaries. Certain defined terms used in this description but not defined herein have the meanings assigned to them in the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will issue the notes in an initial maximum aggregate principal amount of $            . The notes will mature on March 15, 2053.</w:t>
      </w:r>
    </w:p>
    <w:p>
      <w:pPr>
        <w:spacing w:after="0" w:line="9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Interest on the notes will accrue at the rate of        % per annum, and will be payable in cash semi-annually in arrears on each              and              , commencing on                , 2023. We will make each interest payment on the notes to the holders of record on the                or                  immediately preceding the related interest payment date (whether or not a Business Day).</w:t>
      </w:r>
    </w:p>
    <w:p>
      <w:pPr>
        <w:spacing w:after="0" w:line="11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Interest on the notes will accrue from the date of original issuance or, if interest has already been paid, from the most recent interest payment date. Interest will be computed on the basis of a 360-day year comprising twelve 30-day months.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Security Registrar</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We will pay principal of, premium, if any, and interest on the notes at the office or agency designated by the Company, which is initially the corporate trust office of the trustee in Minneapolis, Minnesota. We will pay principal of, premium, if any, and interest on the notes in global form registered in the name of or held by The Depository Trust Company or its nominee in immediately available funds to The Depository Trust Company or its nominee, as the case may be, as the registered holder of such Global Note. The Company shall make all payments in respect of a Certificated Note by mailing a check to the registered address of each holder thereof as such address shall appear in the Security Registrar’s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on the notes represented by Certificated Notes may also be made, 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at least $1,000,000 aggregate principal amount of notes represented by Certificated Notes, by wire transfer to a U.S. dollar account maintained by the payee with a bank in the United States if such holder elects payment by wire transfer by giving written notice to the Trustee or the Paying Agent in accordance with the terms of the Indenture.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have initially designated the Trustee to act as our Paying Agent and Security Registrar. We may, however, change the Paying Agent or Security Registrar without prior notice to the holders of the notes, and the Company or any of its Subsidiaries may act as Paying Agent or Security Registrar.</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If any scheduled date for a payment on the notes is not a Business Day, then the payment will be paid on the next succeeding Business Day without additional interest in respect of such delay.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4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 holder may transfer or exchange the notes in accordance with the Indenture. The Security Registrar and the Trustee may require a holder, among other things, to furnish appropriate endorsements and transfer documents. No service charge will be imposed by the Company, the Trustee or the Security Registrar for any registration of transfer or exchange of notes, but the Company may require a holder to pay a sum sufficient to cover any transfer tax or other governmental taxes and fees required by law or permitted by the Indenture. The Company is not required to transfer or exchange any note selected for redemption. Also, the Company is not required to transfer or exchange any note for a period of 15 days before a selection of notes to be redeemed.</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Prior to September 15, 2052 (the date that is six months prior to the notes maturity date)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10" w:lineRule="exact"/>
        <w:rPr>
          <w:sz w:val="20"/>
          <w:szCs w:val="20"/>
          <w:color w:val="auto"/>
        </w:rPr>
      </w:pPr>
    </w:p>
    <w:p>
      <w:pPr>
        <w:ind w:left="1980" w:right="499" w:hanging="360"/>
        <w:spacing w:after="0" w:line="257"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matured on the Par Call Date) on a semi-annual basis (assuming a 360-day year consisting of twelve 30-</w:t>
      </w:r>
    </w:p>
    <w:p>
      <w:pPr>
        <w:spacing w:after="0" w:line="1" w:lineRule="exact"/>
        <w:rPr>
          <w:rFonts w:ascii="Times New Roman" w:cs="Times New Roman" w:eastAsia="Times New Roman" w:hAnsi="Times New Roman"/>
          <w:sz w:val="18"/>
          <w:szCs w:val="18"/>
          <w:color w:val="auto"/>
        </w:rPr>
      </w:pPr>
    </w:p>
    <w:p>
      <w:pPr>
        <w:ind w:left="1980" w:right="7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months) at the Treasury Rate plus          basis points less (b) interest accrued to the date of redemption; and</w:t>
      </w:r>
    </w:p>
    <w:p>
      <w:pPr>
        <w:spacing w:after="0" w:line="10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not including the redemption date.</w:t>
      </w:r>
    </w:p>
    <w:p>
      <w:pPr>
        <w:spacing w:after="0" w:line="158"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spacing w:after="0" w:line="109" w:lineRule="exact"/>
        <w:rPr>
          <w:sz w:val="20"/>
          <w:szCs w:val="20"/>
          <w:color w:val="auto"/>
        </w:rPr>
      </w:pPr>
    </w:p>
    <w:p>
      <w:pPr>
        <w:ind w:left="1260" w:right="1019" w:firstLine="360"/>
        <w:spacing w:after="0" w:line="258"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Notwithstanding anything herein to the contrary, notices may be sent more than 60 days prior to a redemption date if the notice is issued in connection with a covenant defeasance or legal defeasance with respect to the notes or a satisfaction and discharge of the Indenture with respect to the notes. Notice of any redemption may, at the Company’s discretion, be subject to one or more conditions precedent. If a redemption is subject to satisfaction of one or more conditions precedent, the redemption date may be delayed up to 10 Business Days at the Company’s election. If such conditions precedent are not satisfied within 10 Business Days after the proposed redemption date, such redemption shall not occur and the notice thereof shall be deemed rescinded. A notice of redemption need not set forth the exact redemption price but only the manner of calculation thereof.</w:t>
      </w:r>
    </w:p>
    <w:p>
      <w:pPr>
        <w:spacing w:after="0" w:line="32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subject to the last sentence of this paragraph.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the original note. For so long as the notes are held by DTC (or another depositary), the redemption of the notes shall be done in accordance with the policies and procedures of such depositary.</w:t>
      </w:r>
    </w:p>
    <w:p>
      <w:pPr>
        <w:spacing w:after="0" w:line="81"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or any conditions precedent described in the notice of redemption are not satisfied and therefore the notice of redemption is deemed rescinded, on and after the redemption date interest will cease to accrue on the notes or portions thereof called for redemption.</w:t>
      </w:r>
    </w:p>
    <w:p>
      <w:pPr>
        <w:spacing w:after="0" w:line="321"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with respect to any redemption date, the yield determined by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following two paragraphs.</w:t>
      </w:r>
    </w:p>
    <w:p>
      <w:pPr>
        <w:spacing w:after="0" w:line="9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w:t>
      </w:r>
    </w:p>
    <w:p>
      <w:pPr>
        <w:spacing w:after="0" w:line="4"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H.15 immediately shorter than and one yield corresponding to the Treasury constant maturity on H.15 immediately longer than the Remaining Life and shall interpolate to the Par Call Date on a straight-line basis (using the actual number of days) using such yields and rounding the result to three decimal places; or</w:t>
      </w:r>
    </w:p>
    <w:p>
      <w:pPr>
        <w:ind w:left="1260" w:right="639"/>
        <w:spacing w:after="0" w:line="241" w:lineRule="auto"/>
        <w:tabs>
          <w:tab w:leader="none" w:pos="15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17"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spacing w:after="0" w:line="11" w:lineRule="exact"/>
        <w:rPr>
          <w:sz w:val="20"/>
          <w:szCs w:val="20"/>
          <w:color w:val="auto"/>
        </w:rPr>
      </w:pPr>
    </w:p>
    <w:p>
      <w:pPr>
        <w:ind w:left="1260" w:right="1019"/>
        <w:spacing w:after="0" w:line="260" w:lineRule="auto"/>
        <w:rPr>
          <w:sz w:val="20"/>
          <w:szCs w:val="20"/>
          <w:color w:val="auto"/>
        </w:rPr>
      </w:pPr>
      <w:r>
        <w:rPr>
          <w:rFonts w:ascii="Times New Roman" w:cs="Times New Roman" w:eastAsia="Times New Roman" w:hAnsi="Times New Roman"/>
          <w:sz w:val="18"/>
          <w:szCs w:val="18"/>
          <w:color w:val="auto"/>
        </w:rPr>
        <w:t>a percentage of principal amount) at 11:00 a.m., New York City time, of such United States Treasury security, and rounded to three decimal places.</w:t>
      </w:r>
    </w:p>
    <w:p>
      <w:pPr>
        <w:spacing w:after="0" w:line="10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mandatory redemption payments or sinking fund payments with respect to the notes.</w:t>
      </w:r>
    </w:p>
    <w:p>
      <w:pPr>
        <w:spacing w:after="0" w:line="94"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and affiliates may acquire the notes by means other than a redemption, whether by tender offer, open market purchases, negotiated transactions or otherwise, in accordance with applicable securities laws.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notes will be general unsecured senior obligations of the Company. The notes will be fully and unconditionally guaranteed (such guarantee, the “Subsidiary Guarantee”) by Diamondback E&amp;P LLC (such entity during the period (and only during such period) that the Subsidiary Guarantee is in effect, the “Subsidiary Guarantor”), but will not be guaranteed by any of our other Subsidiaries. The notes will rank senior in right of payment to any future indebtedness of the Company and the Subsidiary Guarantor that is expressly subordinated in right of payment to the notes. The notes will rank equally in right of payment with all existing and future indebtedness of the Company and the Subsidiary Guarantor that is not so subordinated (including the obligations under the Subsidiary Guarantor’s revolving credit facility, the Subsidiary Guarantor’s 7.125% Medium-term Notes, Series B, due 2028 and our 3.250% Senior Notes due 2026, 3.500% Senior Notes due 2029, 3.125% Senior Notes due 2031, 6.250% Senior Notes due 2033,</w:t>
      </w:r>
    </w:p>
    <w:p>
      <w:pPr>
        <w:spacing w:after="0" w:line="5"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4.400% Senior Notes due 2051 and 4.250% Senior Notes due 2052), and will be structurally subordinated to any indebtedness and liabilities (including trade payables) of our Subsidiaries (other than the Subsidiary Guarantor) (including the revolving credit facility of Viper OpCo, the outstanding QEP Notes and the Viper Notes), and will be effectively subordinated to all of our secured indebtedness, if any, to the extent of the value of the collateral securing such indebtedness. In the event of bankruptcy, liquidation, reorganization or other winding up of the Company or the Subsidiary Guarantor upon a default in payment with respect to, or the acceleration of, any senior secured indebtedness, the assets of the Company and the Subsidiary Guarantor that secure such senior secured indebtedness will be available to pay obligations on the notes and the Subsidiary Guarantee only after all obligations under such senior secured indebtedness have been repaid in full from such assets. We advise you that there may not be sufficient assets remaining to pay amounts due on any or all the notes and the Subsidiary Guarantee then outstanding.</w:t>
      </w:r>
    </w:p>
    <w:p>
      <w:pPr>
        <w:spacing w:after="0" w:line="12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of September 30, 2022, after giving effect to the Recent Debt Transactions, the issuance of the notes offered hereby and the application of the net proceeds therefrom, in each case as described in this prospectus supplement, we would have had $            billion of total debt. As of September 30, 2022, the Subsidiary Guarantor had $235.0 million in outstanding borrowings and $3.0 million in outstanding letters of credit under its revolving credit facility and had $1.4 billion available for future borrowings under its revolving credit facility, which we guarantee. As of September 30, 2022, Viper OpCo had $245.0 million in outstanding borrowings and $255.0 million available for future borrowings under its revolving credit facility, which is guaranteed by Viper, and Viper had $430.4 million of outstanding senior notes due 2027, which are guaranteed by Viper OpCo. As of September 30, 2022, after giving effect to the Rattler Notes Redemption, Rattler would have had no outstanding indebtedness. As of September 30, 2022, QEP had $24.0 million of the QEP Notes outstanding.</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Subsidiary Guarantee</w:t>
      </w:r>
    </w:p>
    <w:p>
      <w:pPr>
        <w:spacing w:after="0" w:line="148"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Subsidiary Guarantor will guarantee on a senior unsecured basis our obligations under the notes and all of our other obligations under the Indenture, and the Subsidiary Guarantor’s guarantee of the notes will be “full and unconditional,” as that term is used in Regulation S-X, Rule 3-10(b)(3), except that in the future the guarantee may be released or terminated under certain circumstances set forth below. The obligations of the Subsidiary Guarantor under the Subsidiary Guarantee will rank equally in right of payment with other indebtedness of the Subsidiary Guarantor, except to the extent such other indebtedness is expressly subordinate to the obligations arising under the Subsidiary Guarantee.</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obligations of the Subsidiary Guarantor under the Subsidiary Guarantee will be limited in a manner designed to prevent the Subsidiary Guarantee from constituting a fraudulent conveyance or fraudulent transfer under applicable law, although no assurance can be given that a court would give the holder the benefit of such provision. See “Risk Factors — Risks Related to the Notes — The guarantee provided by the guarantor may not be enforceable and, under specific circumstances, federal and state courts may void the guarantee and require holders to return payments received from the guarantor.” If the Subsidiary Guarantee were rendered voidable, it could be subordinated by a court to all other indebtedness (including guarantees and other contingent liabilities) of the Subsidiary Guarantor, and, depending on the amount of such indebtedness, the Subsidiary Guarantor’s liability on the Subsidiary Guarantee could be reduced to zero.</w:t>
      </w: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the event the Subsidiary Guarantor is sold or disposed of (whether by merger, consolidation, the sale of a sufficient amount of its (or an intermediate holding company’s) Capital Stock so that the Subsidiary Guarantor no longer constitutes a “Subsidiary” of ours or the sale of all or substantially all of its assets (other than by lease)), and whether or not the Subsidiary Guarantor is the surviving entity in such transaction, to a Person that is not (and does not thereupon become) the Company or a Subsidiary of the Company, the Subsidiary Guarantor will be released and discharged automatically and unconditionally from all its obligations under the Subsidiary Guarantee and will cease to be the Subsidiary Guarantor, without any further action required on the part of the Trustee or any holder.</w:t>
      </w:r>
    </w:p>
    <w:p>
      <w:pPr>
        <w:spacing w:after="0" w:line="11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In addition, the Subsidiary Guarantor will be released and discharged automatically and unconditionally from all its obligations under the Indenture and the Subsidiary Guarantee and will cease to be the Subsidiary Guarantor, without any further action required on the part of the Trustee or any holder,</w:t>
      </w:r>
    </w:p>
    <w:p>
      <w:pPr>
        <w:ind w:left="1260" w:right="479"/>
        <w:spacing w:after="0"/>
        <w:tabs>
          <w:tab w:leader="none" w:pos="14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release or discharge of the Company’s guarantee of the Subsidiary Guarantor’s obligations under its revolving credit facility, (ii) upon the release or discharge of the Subsidiary Guarantor’s obligations under its revolving credit facility, (iii) in connection with any covenant defeasance, legal defeasance or satisfaction and discharge of the notes as provided below under the captions “— Defeasance” and “— Satisfaction and Discharge”, or (iv) if no Event of Default has occurred and is then continuing, upon the liquidation or dissolution of the Subsidiary Guarantor.</w:t>
      </w:r>
    </w:p>
    <w:p>
      <w:pPr>
        <w:spacing w:after="0" w:line="117"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Upon delivery by the Company to the Trustee of an Officer’s Certificate and an Opinion of Counsel to the effect that any of the conditions described above has occurred, the Trustee shall execute any supplemental indenture or other documents reasonably requested by the Company in order to evidence the release of the Subsidiary Guarantor from its obligations under the Subsidiary Guarantee and the Indenture.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Company will not, and will not permit any of its Restricted Subsidiaries to, create, Incur, or suffer or permit to exist, any Lien securing Funded Debt (other than Permitted Liens) upon any Principal Property, whether owned on the Issue Date or acquired after that date, unless the Indebtedness due under the Indenture, the notes and the Subsidiary Guarantee (if any) is secured equally and ratably with (or senior in priority to in the case of Liens with respect to Funded Debt that is expressly subordinated to the notes or the Subsidiary Guarantee) the Funded Debt secured by such Lien for so long as such Funded Debt is so secured.</w:t>
      </w:r>
    </w:p>
    <w:p>
      <w:pPr>
        <w:spacing w:after="0" w:line="112"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the preceding paragraph, we may, and may permit any Restricted Subsidiary of ours to, create, Incur, or suffer or permit to exist, any Lien securing Funded Debt upon any Principal Property without securing the Indebtedness due under the Indenture, the notes and the Subsidiary Guarantee if the aggregate principal amount of such Funded Debt secured by such Lien upon such Principal Property, together with the aggregate outstanding principal amount of all other Funded Debt of ours and any Restricted Subsidiary of ours secured by any Liens (other than Permitted Liens) upon Principal Property, does not at the time such Funded Debt is created, Incurred or assumed (or, if later, at the time such Lien is created, Incurred or assumed) exceed the greater of (i) 15% of Consolidated Net Tangible Assets at such time and (ii) $3.35 billion.</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Company will furnish or file with the Trustee,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If the Company is not subject to the requirements of Section 13 or 15(d) of the Exchange Act, the Company will furnish to all holders of the notes and prospective purchasers of the notes designated by the holders of the notes, promptly on their request, the information required to be delivered pursuant to Rule 144A(d)(4) promulgated under the Securities Act. For purposes of this covenant, the Company will be deemed to have furnished such reports and information to, or filed such reports and information with, the Trustee and the holders of notes and prospective purchasers as required by this covenant if it has filed such reports or information with the SEC via the EDGAR filing system or otherwise made such reports or information publicly available on a</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freely accessible page on the Company’s website. The Trustee shall have no obligation whatsoever to determine whether or not such reports and information have been filed or have been posted on such website.</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Company also shall furnish to the Trustee, annually, a brief certificate from the principal executive officer, principal financial officer or principal accounting officer as to his or her knowledge of the Company’s compliance with all conditions and covenants under the Indenture.</w:t>
      </w:r>
    </w:p>
    <w:p>
      <w:pPr>
        <w:spacing w:after="0" w:line="10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Company will deliver to the Trustee, within 30 days after the occurrence thereof, written notice of any events that would constitute an Event of Default, unless such Event of Default has been cured or waived before the end of such 30-day period, their status and what action the Company is taking or proposing to take in respect thereof.</w:t>
      </w:r>
    </w:p>
    <w:p>
      <w:pPr>
        <w:spacing w:after="0" w:line="11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Delivery of any reports, information and documents to the Trustee is for informational purposes only and the Trustee’s receipt of such shall not constitute notice, constructive or otherwise, of any information contained therein or determinable from information contained therein, including the compliance by the Company with any of the Company’s covenants (as to which the Trustee is entitled to rely exclusively on Officer’s Certificates).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Unrestricted Subsidiaries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of the Company may after the Issue Date designate any Subsidiary as an “Unrestricted Subsidiary” under the Indenture if: (1) no Default or Event of Default shall have occurred and be continuing at the time of or after giving effect to such designation; and (2) such Subsidiary has no Indebtedness other than Non — Recourse Debt.</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Board of Directors of the Company may at any time designate any Unrestricted Subsidiary to be a Restricted Subsidiary of the Company. Any such designation will be deemed to be an incurrence of Funded Debt and Liens by a Restricted Subsidiary of the Company of any outstanding Funded Debt and Liens, respectively, of such Unrestricted Subsidiary, and such designation will only be permitted if no Default or Event of Default would be in existence following such designation.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following is an Event of Default with respect to the notes:</w:t>
      </w:r>
    </w:p>
    <w:p>
      <w:pPr>
        <w:spacing w:after="0" w:line="144" w:lineRule="exact"/>
        <w:rPr>
          <w:sz w:val="20"/>
          <w:szCs w:val="20"/>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continued for 30 days;</w:t>
      </w:r>
    </w:p>
    <w:p>
      <w:pPr>
        <w:spacing w:after="0" w:line="157"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when due at its Stated Maturity, upon optional redemption, upon acceleration or otherwise;</w:t>
      </w:r>
    </w:p>
    <w:p>
      <w:pPr>
        <w:spacing w:after="0" w:line="94" w:lineRule="exact"/>
        <w:rPr>
          <w:rFonts w:ascii="Times New Roman" w:cs="Times New Roman" w:eastAsia="Times New Roman" w:hAnsi="Times New Roman"/>
          <w:sz w:val="18"/>
          <w:szCs w:val="18"/>
          <w:color w:val="auto"/>
        </w:rPr>
      </w:pPr>
    </w:p>
    <w:p>
      <w:pPr>
        <w:ind w:left="2340" w:right="239" w:hanging="720"/>
        <w:spacing w:after="0" w:line="297" w:lineRule="auto"/>
        <w:tabs>
          <w:tab w:leader="none" w:pos="1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Company to comply for 180 days after notice as provided below with the covenant described under “— Certain Covenants — Reports”; or</w:t>
      </w:r>
    </w:p>
    <w:p>
      <w:pPr>
        <w:spacing w:after="0" w:line="81" w:lineRule="exact"/>
        <w:rPr>
          <w:rFonts w:ascii="Times New Roman" w:cs="Times New Roman" w:eastAsia="Times New Roman" w:hAnsi="Times New Roman"/>
          <w:sz w:val="18"/>
          <w:szCs w:val="18"/>
          <w:color w:val="auto"/>
        </w:rPr>
      </w:pPr>
    </w:p>
    <w:p>
      <w:pPr>
        <w:ind w:left="2340" w:right="679" w:hanging="360"/>
        <w:spacing w:after="0" w:line="282" w:lineRule="auto"/>
        <w:tabs>
          <w:tab w:leader="none" w:pos="2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for 90 days after notice as provided below with its other agreements contained in the Indenture or the notes;</w:t>
      </w:r>
    </w:p>
    <w:p>
      <w:pPr>
        <w:spacing w:after="0" w:line="94" w:lineRule="exact"/>
        <w:rPr>
          <w:rFonts w:ascii="Times New Roman" w:cs="Times New Roman" w:eastAsia="Times New Roman" w:hAnsi="Times New Roman"/>
          <w:sz w:val="18"/>
          <w:szCs w:val="18"/>
          <w:color w:val="auto"/>
        </w:rPr>
      </w:pPr>
    </w:p>
    <w:p>
      <w:pPr>
        <w:ind w:left="1980" w:right="459" w:hanging="360"/>
        <w:spacing w:after="0" w:line="258"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similar instrument under which there is issued or by which there is secured or evidenced any Indebtedness for money borrowed by the Company or the Subsidiary Guarantor (or the payment of which is guaranteed by the Company or the Subsidiary Guarantor), other than Indebtedness owed to a Subsidiary, whether such Indebtedness or guarantee now exists or is created after the Issue Date, which default:</w:t>
      </w:r>
    </w:p>
    <w:p>
      <w:pPr>
        <w:spacing w:after="0" w:line="102" w:lineRule="exact"/>
        <w:rPr>
          <w:rFonts w:ascii="Times New Roman" w:cs="Times New Roman" w:eastAsia="Times New Roman" w:hAnsi="Times New Roman"/>
          <w:sz w:val="18"/>
          <w:szCs w:val="18"/>
          <w:color w:val="auto"/>
        </w:rPr>
      </w:pPr>
    </w:p>
    <w:p>
      <w:pPr>
        <w:jc w:val="both"/>
        <w:ind w:left="2340" w:right="459" w:hanging="360"/>
        <w:spacing w:after="0" w:line="275" w:lineRule="auto"/>
        <w:tabs>
          <w:tab w:leader="none" w:pos="2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or interest or premium, if any, on such Indebtedness prior to the expiration of the grace period provided in such Indebtedness (“payment default”); or</w:t>
      </w:r>
    </w:p>
    <w:p>
      <w:pPr>
        <w:spacing w:after="0" w:line="322" w:lineRule="exact"/>
        <w:rPr>
          <w:rFonts w:ascii="Times New Roman" w:cs="Times New Roman" w:eastAsia="Times New Roman" w:hAnsi="Times New Roman"/>
          <w:sz w:val="18"/>
          <w:szCs w:val="18"/>
          <w:color w:val="auto"/>
        </w:rPr>
      </w:pPr>
    </w:p>
    <w:p>
      <w:pPr>
        <w:ind w:left="2340" w:right="639" w:hanging="360"/>
        <w:spacing w:after="0" w:line="261" w:lineRule="auto"/>
        <w:tabs>
          <w:tab w:leader="none" w:pos="2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maturity; and, in each case, the principal amount of any such Indebtedness, together with the principal amount of any other such Indebtedness under which there is an outstanding uncured payment default or the maturity of which has been and remains so accelerated, aggregates $150.0 million or more;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93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(the “bankruptcy provisions”); or</w:t>
      </w:r>
    </w:p>
    <w:p>
      <w:pPr>
        <w:spacing w:after="0" w:line="94"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Guarantee ceases to be in full force and effect (except as contemplated by the terms of the Indenture) or is declared null and void in a judicial proceeding or the Subsidiary Guarantor denies or disaffirms its obligations under the Indenture or the Subsidiary Guarantee, in each case unless the Subsidiary Guarantee has been released pursuant to the terms of the Indenture.</w:t>
      </w:r>
    </w:p>
    <w:p>
      <w:pPr>
        <w:spacing w:after="0" w:line="9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However, a Default under clause (3) of this paragraph will not constitute an Event of Default until the Trustee or the holders of at least 25% in principal amount of the then outstanding notes notify the Company in writing of the Default and the Company does not cure such Default within the time specified in clause (3) of this paragraph after receipt of such notice. Such notice must specify the Default, demand that it be remedied, and state that such notice is a “Notice of Default.”</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occurs and is continuing, the Trustee by written notice to the Company, or holders of at least 25% in principal amount of the then outstanding notes by written notice to the Company and the Trustee, may, and the Trustee at the request of holders of at least 25% in principal amount of the then outstanding notes shall, declare the principal, premium, if any, and accrued and unpaid interest, if any, on all the notes to be due and payable. Such notice must specify the Event of Default and state that such notice is a “Notice of Acceleration.” Upon such a declaration, such principal, premium, if any, and accrued and unpaid interest will be due and payable immediately. In the event of a declaration of acceleration of the notes because an Event of Default described in clause (4) under “— Events of Default” has occurred and is continuing, the declaration of acceleration of the notes shall be automatically annulled if the Default triggering such Event of Default pursuant to clause</w:t>
      </w:r>
    </w:p>
    <w:p>
      <w:pPr>
        <w:spacing w:after="0" w:line="3" w:lineRule="exact"/>
        <w:rPr>
          <w:sz w:val="20"/>
          <w:szCs w:val="20"/>
          <w:color w:val="auto"/>
        </w:rPr>
      </w:pPr>
    </w:p>
    <w:p>
      <w:pPr>
        <w:ind w:left="1520" w:hanging="26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remedied or cured by the Company or waived by the holders of the relevant Indebtedness within</w:t>
      </w:r>
    </w:p>
    <w:p>
      <w:pPr>
        <w:ind w:left="1260" w:right="43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days after the written notice of declaration of acceleration of the notes with respect thereto is received by the Company and if (1) the annulment of the acceleration of the notes would not conflict with any judgment or decree of a court of competent jurisdiction and (2) all existing Events of Default, except nonpayment of principal, premium, if any, or interest on the notes that became due solely because of the acceleration of the notes, have been cured or waived. If an Event of Default described in clause (5) above occurs, the principal, premium, if any, and accrued and unpaid interest on all the notes will become and be immediately due and payable without any declaration or other act on the part of the Trustee or any holders.</w:t>
      </w:r>
    </w:p>
    <w:p>
      <w:pPr>
        <w:spacing w:after="0" w:line="11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At any time after a declaration of acceleration, but before a judgment or decree for the payment of the money due has been obtained by the Trustee, holders of a majority in principal amount of the outstanding notes may by notice to the Trustee and the Company (including, without limitation, waivers and consents obtained in connection with a purchase of, or tender offer or exchange offer for, notes) waive all</w:t>
      </w:r>
    </w:p>
    <w:p>
      <w:pPr>
        <w:spacing w:after="0" w:line="3"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past defaults (except with respect to nonpayment of principal, premium, if any, or interest) and rescind any such acceleration with respect to the notes and its consequences if (1)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17"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Certain provisions relating to the rights and remedies of holders of notes and the rights, remedies and obligations of the Trustee are described in the Description of Debt Securities set forth in the Base Prospectus under the caption “— Events of Default.”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48"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Solely with respect to the notes and except as provided in the next two succeeding paragraphs, the Indenture (including the Subsidiary Guarantee) and the notes may be amended or supplemented with the consent of the holders of a majority in principal amount of the notes then outstanding voting as a single class (including, without limitation, consents obtained in connection with a purchase of, or tender offer or exchange offer for, notes) and any past default or compliance with any provisions may be waived with the consent of the holders of a majority in principal amount of the notes then outstanding voting as a single class (including, without limitation, consents obtained in connection with a purchase of, or tender offer or exchange offer for, the applicable notes).</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However, without the consent of each holder of an outstanding note affected, no amendment, supplement or waiver may (with respect to any notes held by a non-consenting holder):</w:t>
      </w:r>
    </w:p>
    <w:p>
      <w:pPr>
        <w:spacing w:after="0" w:line="67" w:lineRule="exact"/>
        <w:rPr>
          <w:sz w:val="20"/>
          <w:szCs w:val="20"/>
          <w:color w:val="auto"/>
        </w:rPr>
      </w:pPr>
    </w:p>
    <w:p>
      <w:pPr>
        <w:ind w:left="1980" w:right="45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stated rate of interest or extend the stated time for payment of interest on any note;</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Stated Maturity of any note;</w:t>
      </w:r>
    </w:p>
    <w:p>
      <w:pPr>
        <w:spacing w:after="0" w:line="144"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if any, or interest on the notes (except a rescission of acceleration of the notes by holders of a majority in aggregate principal amount of the then outstanding notes with respect to a nonpayment default and a waiver of the payment default that resulted from such acceleration);</w:t>
      </w:r>
    </w:p>
    <w:p>
      <w:pPr>
        <w:spacing w:after="0" w:line="98"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payable upon the redemption of any note or change the time at which any note may be redeemed as described above under “— Optional Redemption” whether through an amendment or waiver of provisions in the definitions or otherwise;</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w:t>
      </w:r>
    </w:p>
    <w:p>
      <w:pPr>
        <w:spacing w:after="0" w:line="144"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premium, if any, and interest on such holder’s notes on or after the due dates therefor or to institute suit for the enforcement of any payment on or with respect to such holder’s notes;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Subsidiary Guarantee in any manner adverse to the holders of the notes; or</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amendment or waiver provisions that require each holder’s consent.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Notwithstanding the foregoing, without the consent of any holder of notes, the Company and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Trustee may amend or supplement the Indenture (including the Subsidiary Guarantee) and the notes to:</w:t>
      </w:r>
    </w:p>
    <w:p>
      <w:pPr>
        <w:spacing w:after="0" w:line="124" w:lineRule="exact"/>
        <w:rPr>
          <w:sz w:val="20"/>
          <w:szCs w:val="20"/>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144" w:lineRule="exact"/>
        <w:rPr>
          <w:rFonts w:ascii="Times New Roman" w:cs="Times New Roman" w:eastAsia="Times New Roman" w:hAnsi="Times New Roman"/>
          <w:sz w:val="18"/>
          <w:szCs w:val="18"/>
          <w:color w:val="auto"/>
        </w:rPr>
      </w:pPr>
    </w:p>
    <w:p>
      <w:pPr>
        <w:ind w:left="1980" w:right="739" w:hanging="360"/>
        <w:spacing w:after="0" w:line="266"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entity of the obligations of the Company under the Indenture in accordance with the covenant described under the caption “Certain Covenants —   Consolidation, Merger, Sale, Conveyance, Transfer or Lease” in the Base Prospectus;</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facilitate the issuance of uncertificated notes in addition to or in place of certificated notes (provided that the uncertificated notes are issued in registered form for purposes of Section 163(f) of the Code);</w:t>
      </w:r>
    </w:p>
    <w:p>
      <w:pPr>
        <w:spacing w:after="0" w:line="108"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notes, evidence the release of a Guarantor from its Guarantee, provide for the assumption by a successor entity of the obligations of a Guarantor in accordance with the applicable provisions of the Indenture;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or any Guarantee thereof;</w:t>
      </w:r>
    </w:p>
    <w:p>
      <w:pPr>
        <w:spacing w:after="0" w:line="157"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of the Company or other obligor under the Indenture, the notes or any Guarantees, or Events of Default for the benefit of the holders of the notes or the Guarantees or to make other changes that would provide additional rights to the holders of the notes or to surrender any right or power conferred upon the Company or other such obligor;</w:t>
      </w:r>
    </w:p>
    <w:p>
      <w:pPr>
        <w:spacing w:after="0" w:line="98"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legal or contractual rights of any holder under the Indenture or the notes;</w:t>
      </w:r>
    </w:p>
    <w:p>
      <w:pPr>
        <w:spacing w:after="0" w:line="80" w:lineRule="exact"/>
        <w:rPr>
          <w:rFonts w:ascii="Times New Roman" w:cs="Times New Roman" w:eastAsia="Times New Roman" w:hAnsi="Times New Roman"/>
          <w:sz w:val="18"/>
          <w:szCs w:val="18"/>
          <w:color w:val="auto"/>
        </w:rPr>
      </w:pPr>
    </w:p>
    <w:p>
      <w:pPr>
        <w:ind w:left="1980" w:right="539" w:hanging="360"/>
        <w:spacing w:after="0" w:line="266"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an appointment under the Indenture of a successor trustee; provided that the successor trustee is otherwise qualified and eligible to act as such under the terms of the Indenture;</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Notes permitted to be issued under the Indenture;</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of any applicable securities depositary;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hanging="360"/>
        <w:spacing w:after="0" w:line="258"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the notes or the Guarantees to any provision of this “Description of Notes” or the “Description of Debt Securities” set forth in the Base Prospectus to the extent that such provision in this “Description of Notes” or such “Description of Debt Securities” was intended to be a verbatim recitation of a provision of the Indenture, the notes or a Guarantee, which intent shall be established by an Officer’s Certificate.</w:t>
      </w:r>
    </w:p>
    <w:p>
      <w:pPr>
        <w:spacing w:after="0" w:line="116"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supplement or waiver. It is sufficient if such consent approves the substance of the proposed amendment, supplement or waiver. A consent to any amendment, supplement or waiver under the Indenture by any holder of notes given in connection with a tender of such holder’s notes will not be rendered invalid by such tender. After an amendment, supplement or waiver under the Indenture becomes effective, the Company is required to send to the applicable holders a notice briefly describing such amendment, supplement or waiver. However, the failure to give such notice to all the holders of the notes, or any defect in the notice, will not impair or affect the validity of any amendment, supplement or waiver.</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4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legal defeasance and covenant defeasance provisions described under “Description of Debt Securities — Defeasance” in the Base Prospectus shall be applicable to the notes. In the case of a covenant defeasance, the Company may terminate its obligations to comply with the covenant described under</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Certain Covenants — Limitation on Liens” and the Subsidiary Guarantee provision described in clause</w:t>
      </w:r>
    </w:p>
    <w:p>
      <w:pPr>
        <w:spacing w:after="0" w:line="7" w:lineRule="exact"/>
        <w:rPr>
          <w:sz w:val="20"/>
          <w:szCs w:val="20"/>
          <w:color w:val="auto"/>
        </w:rPr>
      </w:pPr>
    </w:p>
    <w:p>
      <w:pPr>
        <w:ind w:left="1260" w:right="639"/>
        <w:spacing w:after="0" w:line="243" w:lineRule="auto"/>
        <w:tabs>
          <w:tab w:leader="none" w:pos="15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 Events of Default” above in this Description of Notes and certain covenants described under “— Certain Covenants” in the Description of Debt Securities in the Base Prospectus, other than the covenant described under clause (2) under “— Consolidation, Merger, Sale, Conveyance, Transfer or Lease.”</w:t>
      </w:r>
    </w:p>
    <w:p>
      <w:pPr>
        <w:spacing w:after="0" w:line="32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the Company exercises its legal defeasance or its covenant defeasance option, all Guarantees (if any are in effect at such time) will terminate.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2"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The satisfaction and discharge provisions described under “Description of Debt Securities —  Satisfaction and Discharge” in the Base Prospectus shall be applicable to the notes and any Guarantee thereof.</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Computershare Trust Company, National Association is the Trustee under the Indenture and has been appointed by the Company as Security Registrar and Paying Agent with regard to the notes.</w:t>
      </w:r>
    </w:p>
    <w:p>
      <w:pPr>
        <w:spacing w:after="0" w:line="81"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Trustee has not provided or approved of any information in this prospectus supplement, takes no responsibility for any information contained in this prospectus supplement, the Indenture, or the notes, and makes no representation as to the contents of this prospectus supplement, the Indenture, or the notes.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Indenture provides that it, the notes and any Guarantees will be governed by, and construed in accordance with, the laws of the State of New York.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Prospectus</w:t>
      </w:r>
      <w:r>
        <w:rPr>
          <w:rFonts w:ascii="Times New Roman" w:cs="Times New Roman" w:eastAsia="Times New Roman" w:hAnsi="Times New Roman"/>
          <w:sz w:val="18"/>
          <w:szCs w:val="18"/>
          <w:color w:val="auto"/>
        </w:rPr>
        <w:t>” means the prospectus that describes the Base Indenture.</w:t>
      </w:r>
    </w:p>
    <w:p>
      <w:pPr>
        <w:spacing w:after="0" w:line="158" w:lineRule="exact"/>
        <w:rPr>
          <w:sz w:val="20"/>
          <w:szCs w:val="20"/>
          <w:color w:val="auto"/>
        </w:rPr>
      </w:pPr>
    </w:p>
    <w:p>
      <w:pPr>
        <w:ind w:left="1260" w:right="45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rights to purchase, warrants, options, participations or other equivalents of or interests in (however designated) equity of such Person, including, without limitation, any preferred stock and limited liability company or partnership interests (whether general or limited) of such Person, but excluding any debt securities convertible or exchangeable into such equity.</w:t>
      </w:r>
    </w:p>
    <w:p>
      <w:pPr>
        <w:spacing w:after="0" w:line="3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of the Company and its Restricted Subsidiaries (less applicable depreciation and valuation reserves and other reserves and items deductible from the gross book value of specific asset accounts under GAAP) after deducting therefrom:</w:t>
      </w:r>
    </w:p>
    <w:p>
      <w:pPr>
        <w:spacing w:after="0" w:line="108" w:lineRule="exact"/>
        <w:rPr>
          <w:sz w:val="20"/>
          <w:szCs w:val="20"/>
          <w:color w:val="auto"/>
        </w:rPr>
      </w:pPr>
    </w:p>
    <w:p>
      <w:pPr>
        <w:ind w:left="1980" w:right="619" w:hanging="360"/>
        <w:spacing w:after="0" w:line="266"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(A) any current liabilities that by their terms are extendable or renewable at the option of the obligor thereon to a time more than 12 months after the time as of which the amount thereof is being computed, and (B) current maturities of Funded Debt); and</w:t>
      </w:r>
    </w:p>
    <w:p>
      <w:pPr>
        <w:spacing w:after="0" w:line="108" w:lineRule="exact"/>
        <w:rPr>
          <w:rFonts w:ascii="Times New Roman" w:cs="Times New Roman" w:eastAsia="Times New Roman" w:hAnsi="Times New Roman"/>
          <w:sz w:val="18"/>
          <w:szCs w:val="18"/>
          <w:color w:val="auto"/>
        </w:rPr>
      </w:pPr>
    </w:p>
    <w:p>
      <w:pPr>
        <w:jc w:val="both"/>
        <w:ind w:left="1980" w:right="559" w:hanging="360"/>
        <w:spacing w:after="0" w:line="263"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goodwill, trade names, trademarks, patents, and other like intangible assets, all as set forth on our consolidated balance sheet as of a date no earlier than the date of the Company’s latest available annual or quarterly consolidated financial statements prepared in accordance with GAAP.</w:t>
      </w:r>
    </w:p>
    <w:p>
      <w:pPr>
        <w:spacing w:after="0" w:line="317"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Customary Recourse Exceptions</w:t>
      </w:r>
      <w:r>
        <w:rPr>
          <w:rFonts w:ascii="Times New Roman" w:cs="Times New Roman" w:eastAsia="Times New Roman" w:hAnsi="Times New Roman"/>
          <w:sz w:val="18"/>
          <w:szCs w:val="18"/>
          <w:color w:val="auto"/>
        </w:rPr>
        <w:t>” means with respect to any Non-Recourse Debt, exclusions from the exculpation provisions with respect to such Non-Recourse Debt for the voluntary bankruptcy of a Person, fraud, misapplication of cash, environmental claims, waste, willful destruction and other circumstances customarily excluded by lenders from exculpation provisions or included in separate indemnification agreements in non-recourse financings.</w:t>
      </w:r>
    </w:p>
    <w:p>
      <w:pPr>
        <w:spacing w:after="0" w:line="106"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91"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 thereunder.</w:t>
      </w:r>
    </w:p>
    <w:p>
      <w:pPr>
        <w:spacing w:after="0" w:line="91"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Funded Debt</w:t>
      </w:r>
      <w:r>
        <w:rPr>
          <w:rFonts w:ascii="Times New Roman" w:cs="Times New Roman" w:eastAsia="Times New Roman" w:hAnsi="Times New Roman"/>
          <w:sz w:val="18"/>
          <w:szCs w:val="18"/>
          <w:color w:val="auto"/>
        </w:rPr>
        <w:t>” means, in respect of any Person, all Indebtedness Incurred by such Person that matures, or is renewable by such Person to a date, more than one year after the date as of which Funded Debt is being determined.</w:t>
      </w:r>
    </w:p>
    <w:p>
      <w:pPr>
        <w:spacing w:after="0" w:line="9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xml:space="preserve"> ” means generally accepted accounting principles in the United States of America as in effect as of the Issue Date,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0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any obligation, contingent or otherwise, of any Person guaranteeing any Indebtedness of any other Person and any obligation, direct or indirect, contingent or otherwise, of such Person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The term “guarantee” will not include endorsements for collection or deposit in the ordinary course of business. The term “guarantee” used as a verb has a corresponding meaning.</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 on the Security Registrar’s books.</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means issue, create, assume, guarantee, incur or otherwise become liable for. Any Indebtedness of a Person existing at the time such Person becomes a Subsidiary (whether by merger, consolidation, acquisition or otherwise) will be deemed to be Incurred by such Subsidiary at the time it becomes a Subsidiary. The terms “Incurred” and “Incurrence” have meanings correlative to the foregoing.</w:t>
      </w:r>
    </w:p>
    <w:p>
      <w:pPr>
        <w:spacing w:after="0" w:line="99" w:lineRule="exact"/>
        <w:rPr>
          <w:sz w:val="20"/>
          <w:szCs w:val="20"/>
          <w:color w:val="auto"/>
        </w:rPr>
      </w:pPr>
    </w:p>
    <w:p>
      <w:pPr>
        <w:ind w:left="1260" w:right="4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on any date of determination, any obligation of such Person, whether contingent or otherwise, for the repayment of borrowed money and any guarantee thereof.</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notes are first issued under the Indenture.</w:t>
      </w:r>
    </w:p>
    <w:p>
      <w:pPr>
        <w:spacing w:after="0" w:line="14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sell or give a security interest in and any filing of or agreement to give any financing statement under the Uniform Commercial Code (or equivalent statutes) of any jurisdiction. For the avoidance of doubt, (1) an operating lease shall be deemed not to constitute a Lien and (2) a contract that would not be considered a capital lease pursuant to GAAP prior to the effectiveness of Accounting Standards Codification 842 shall be deemed not to constitute a Lien.</w:t>
      </w:r>
    </w:p>
    <w:p>
      <w:pPr>
        <w:spacing w:after="0" w:line="11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Indebtedness as to which neither the Company nor any of its Restricted Subsidiaries (a) provides credit support of any kind (including any undertaking, agreement or instrument that would constitute Indebtedness) or (b) is directly or indirectly liable as a guarantor or otherwise except, in each case for (i) Customary Recourse Exceptions and (ii) the pledge of (or a guarantee limited in recourse solely to) the Capital Stock of such Unrestricted Subsidiary.</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 officer of the Company.</w:t>
      </w:r>
    </w:p>
    <w:p>
      <w:pPr>
        <w:spacing w:after="0" w:line="144"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The counsel may be an employee of or counsel to the Company or the Trustee.</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 with respect to any Person:</w:t>
      </w:r>
    </w:p>
    <w:p>
      <w:pPr>
        <w:spacing w:after="0" w:line="160" w:lineRule="exact"/>
        <w:rPr>
          <w:sz w:val="20"/>
          <w:szCs w:val="20"/>
          <w:color w:val="auto"/>
        </w:rPr>
      </w:pPr>
    </w:p>
    <w:p>
      <w:pPr>
        <w:ind w:left="1980" w:right="105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Trustee for the benefit of the Trustee or the holders of the notes or otherwise securing the notes, a Guarantee or other obligations under the Indenture;</w:t>
      </w:r>
    </w:p>
    <w:p>
      <w:pPr>
        <w:spacing w:after="0" w:line="94" w:lineRule="exact"/>
        <w:rPr>
          <w:rFonts w:ascii="Times New Roman" w:cs="Times New Roman" w:eastAsia="Times New Roman" w:hAnsi="Times New Roman"/>
          <w:sz w:val="18"/>
          <w:szCs w:val="18"/>
          <w:color w:val="auto"/>
        </w:rPr>
      </w:pPr>
    </w:p>
    <w:p>
      <w:pPr>
        <w:ind w:left="1980" w:right="139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or obligations with regard to treasury management arrangements;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 Restricted Subsidiary;</w:t>
      </w:r>
    </w:p>
    <w:p>
      <w:pPr>
        <w:spacing w:after="0" w:line="157"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becomes a Restricted Subsidiary of the Company or is merged with or into or consolidated with the Company or any Restricted Subsidiary of the Company; provided that such Liens were in existence prior to the contemplation of such Person becoming a Restricted Subsidiary;</w:t>
      </w:r>
    </w:p>
    <w:p>
      <w:pPr>
        <w:spacing w:after="0" w:line="112" w:lineRule="exact"/>
        <w:rPr>
          <w:rFonts w:ascii="Times New Roman" w:cs="Times New Roman" w:eastAsia="Times New Roman" w:hAnsi="Times New Roman"/>
          <w:sz w:val="18"/>
          <w:szCs w:val="18"/>
          <w:color w:val="auto"/>
        </w:rPr>
      </w:pPr>
    </w:p>
    <w:p>
      <w:pPr>
        <w:ind w:left="1980" w:right="69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of the property by the Company or any Restricted Subsidiary of the Company; provided that such Liens were in existence prior to such acquisition and not Incurred in contemplation of such acquisition;</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61"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statutory or regulatory obligations, insurance, surety or appeal bonds, workers’ compensation obligations, bid, plugging and abandonment and performance bonds or other obligations of a like nature incurred in the ordinary course of business (including Liens to secure letters of credit issued to assure payment of such obligations);</w:t>
      </w:r>
    </w:p>
    <w:p>
      <w:pPr>
        <w:spacing w:after="0" w:line="112" w:lineRule="exact"/>
        <w:rPr>
          <w:rFonts w:ascii="Times New Roman" w:cs="Times New Roman" w:eastAsia="Times New Roman" w:hAnsi="Times New Roman"/>
          <w:sz w:val="18"/>
          <w:szCs w:val="18"/>
          <w:color w:val="auto"/>
        </w:rPr>
      </w:pPr>
    </w:p>
    <w:p>
      <w:pPr>
        <w:ind w:left="1980" w:right="419" w:hanging="360"/>
        <w:spacing w:after="0" w:line="255"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represented by capital lease obligations, finance lease obligations, mortgage financings or purchase money obligations or other Indebtedness, in each case, incurred for the purpose of financing all or any part of the purchase price, other acquisition cost or cost of design, construction, installation, development, repair or improvement of property, plant or equipment used in the business of the Company or any of its Restricted Subsidiaries, and all refinancing indebtedness Incurred to renew, refund, refinance, replace, defease, discharge or otherwise retire for value, in whole or in part, such Indebtedness, covering only the assets acquired with or financed by such Indebtedness;</w:t>
      </w:r>
    </w:p>
    <w:p>
      <w:pPr>
        <w:spacing w:after="0" w:line="33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hereof;</w:t>
      </w:r>
    </w:p>
    <w:p>
      <w:pPr>
        <w:spacing w:after="0" w:line="157" w:lineRule="exact"/>
        <w:rPr>
          <w:rFonts w:ascii="Times New Roman" w:cs="Times New Roman" w:eastAsia="Times New Roman" w:hAnsi="Times New Roman"/>
          <w:sz w:val="18"/>
          <w:szCs w:val="18"/>
          <w:color w:val="auto"/>
        </w:rPr>
      </w:pPr>
    </w:p>
    <w:p>
      <w:pPr>
        <w:ind w:left="1980" w:right="127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Uniform Commercial Code financing statements as a precautionary measure in connection with operating leases;</w:t>
      </w:r>
    </w:p>
    <w:p>
      <w:pPr>
        <w:spacing w:after="0" w:line="107" w:lineRule="exact"/>
        <w:rPr>
          <w:rFonts w:ascii="Times New Roman" w:cs="Times New Roman" w:eastAsia="Times New Roman" w:hAnsi="Times New Roman"/>
          <w:sz w:val="18"/>
          <w:szCs w:val="18"/>
          <w:color w:val="auto"/>
        </w:rPr>
      </w:pPr>
    </w:p>
    <w:p>
      <w:pPr>
        <w:ind w:left="1980" w:right="579" w:hanging="360"/>
        <w:spacing w:after="0" w:line="261"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rights of revocation, refund or chargeback with respect to money or instruments of the Company or any Restricted Subsidiary, Liens arising out of judgments or awards and notices of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and associated rights related to litigation being contested in good faith by appropriate proceedings and for which adequate reserves have been made;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5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Production Payments and Reserve Sales; provided, that such Liens are limited to the property that is subject to such Production Payments and Reserve Sales;</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3"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oil and gas leases or subleases, assignments, farm-out agreements, farm-in agreements, division orders, contracts for the sale, purchase, exchange, transportation, gathering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area of mutual interest agreements, gas balancing or deferred production agreements, injection, repressuring and recycling agreements, salt water or other disposal agreements, seismic or geophysical permits or agreements, licenses, sublicenses and other agreements that are customary in the oil and gas business; provided, however, in all instances that such Liens are limited to the assets that are the subject of the relevant agreement, program, order or contract;</w:t>
      </w:r>
    </w:p>
    <w:p>
      <w:pPr>
        <w:spacing w:after="0" w:line="342"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ordinary course of business contracts, including, without limitation, carriers’, warehousemen’s, suppliers’, mechanics’, materialmen’s, repairmen’s and similar Liens;</w:t>
      </w:r>
    </w:p>
    <w:p>
      <w:pPr>
        <w:spacing w:after="0" w:line="80" w:lineRule="exact"/>
        <w:rPr>
          <w:rFonts w:ascii="Times New Roman" w:cs="Times New Roman" w:eastAsia="Times New Roman" w:hAnsi="Times New Roman"/>
          <w:sz w:val="18"/>
          <w:szCs w:val="18"/>
          <w:color w:val="auto"/>
        </w:rPr>
      </w:pPr>
    </w:p>
    <w:p>
      <w:pPr>
        <w:ind w:left="1980" w:right="69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issuers of surety or performance bonds or letters of credit or bankers’ acceptances issued pursuant to the request of and for the account of such Person in the ordinary course of its business;</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53"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encumbrances, ground leases, easements, restrictions, servitudes, permits, conditions, covenants, exceptions or reservations of, or rights of others for, licenses, rights-of-way, roads, pipelines, transmission liens, transportation liens, distribution lines for the removal of gas, oil, coal or other minerals or timber, sewers, electric lines, telegraph and telephone lines and other similar purposes, or for the joint or common use of real estate, rights of way, facilities and equipment, Liens related to surface leases and surface operations, or zoning, building codes or other restrictions (including, without limitation, minor defects or irregularities in title and similar encumbrances) as to the use of real properties or Liens incidental to the conduct of the business of the Company or any Restricted Subsidiary of the Company or to the ownership of its properties that do not in the aggregate materially adversely affect the value of said properties or materially impair their use in the operation of the business of the Company or any Restricted Subsidiary of the Company;</w:t>
      </w:r>
    </w:p>
    <w:p>
      <w:pPr>
        <w:spacing w:after="0" w:line="340"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and sublicenses of assets that do not materially interfere with the ordinary conduct of the business of the Company or any Restricted Subsidiary of the Company;</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under any operating lease;</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pipelines or pipeline facilities that arise by operation of law;</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related to, properties or assets to secure all or part of the costs incurred in the ordinary course of business for the exploration, drilling, development, production, processing, gathering, transportation, marketing or storage, plugging, abandonment or operation thereof;</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 and</w:t>
      </w:r>
    </w:p>
    <w:p>
      <w:pPr>
        <w:spacing w:after="0" w:line="157" w:lineRule="exact"/>
        <w:rPr>
          <w:rFonts w:ascii="Times New Roman" w:cs="Times New Roman" w:eastAsia="Times New Roman" w:hAnsi="Times New Roman"/>
          <w:sz w:val="18"/>
          <w:szCs w:val="18"/>
          <w:color w:val="auto"/>
        </w:rPr>
      </w:pPr>
    </w:p>
    <w:p>
      <w:pPr>
        <w:ind w:left="1980" w:right="579" w:hanging="360"/>
        <w:spacing w:after="0" w:line="255"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renewing, extending, refinancing, replacing or refunding a Lien permitted by this definition, provided that (a) the principal amount of the Indebtedness secured by such Lien is not increased except by an amount equal to accrued interest and any premium or other amount paid, and fees, costs and expenses incurred, in connection therewith and by an amount equal to any existing commitments unutilized thereunder and (b) no assets are encumbered by any such Lien other than the assets permitted to be encumbered immediately prior to such renewal, extension, refinancing, replacement or refunding.</w:t>
      </w:r>
    </w:p>
    <w:p>
      <w:pPr>
        <w:spacing w:after="0" w:line="121"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or property that may be subject to such Lien, a Permitted Lien on a specified asset or property or group or type of assets or property may include Liens on all improvements, additions, repairs, attachments and accessions thereto,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construction thereon, assets and property affixed or appurtenant thereto, parts, replacements and substitutions therefor and all products and proceeds thereof, including dividends, distributions, interest and increases in respect thereof.</w:t>
      </w:r>
    </w:p>
    <w:p>
      <w:pPr>
        <w:spacing w:after="0" w:line="106" w:lineRule="exact"/>
        <w:rPr>
          <w:sz w:val="20"/>
          <w:szCs w:val="20"/>
          <w:color w:val="auto"/>
        </w:rPr>
      </w:pPr>
    </w:p>
    <w:p>
      <w:pPr>
        <w:ind w:left="1260" w:right="9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9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all property interests in oil and gas reserves located in the United States capable of producing hydrocarbon substances in paying quantities, the net book value of which exceeds 2% of Consolidated Net Tangible Assets, other than: (1) property not of material importance to the business of the Company and its Subsidiaries, taken as a whole; (2) assets used in midstream operations; (3) accounts receivable; and (4) production or proceeds from the production of hydrocarbons.</w:t>
      </w:r>
    </w:p>
    <w:p>
      <w:pPr>
        <w:spacing w:after="0" w:line="10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Production Payments and Reserve Sales</w:t>
      </w:r>
      <w:r>
        <w:rPr>
          <w:rFonts w:ascii="Times New Roman" w:cs="Times New Roman" w:eastAsia="Times New Roman" w:hAnsi="Times New Roman"/>
          <w:sz w:val="18"/>
          <w:szCs w:val="18"/>
          <w:color w:val="auto"/>
        </w:rPr>
        <w:t>” means the grant or transfer by the Company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Company or any of its Restricted Subsidiaries.</w:t>
      </w:r>
    </w:p>
    <w:p>
      <w:pPr>
        <w:spacing w:after="0" w:line="124" w:lineRule="exact"/>
        <w:rPr>
          <w:sz w:val="20"/>
          <w:szCs w:val="20"/>
          <w:color w:val="auto"/>
        </w:rPr>
      </w:pPr>
    </w:p>
    <w:p>
      <w:pPr>
        <w:ind w:left="1260" w:right="63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of any Person means any Subsidiary of the Person that is not an Unrestricted Subsidiary.</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44" w:lineRule="exact"/>
        <w:rPr>
          <w:sz w:val="20"/>
          <w:szCs w:val="20"/>
          <w:color w:val="auto"/>
        </w:rPr>
      </w:pPr>
    </w:p>
    <w:p>
      <w:pPr>
        <w:ind w:left="1260" w:right="7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9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security or Indebtedness, the date specified in such security or Indebtedness as the fixed date on which the payment of principal of such security or Indebtedness is due and payable, including, without limitation, pursuant to any mandatory redemption provision, but shall not include any contingent obligations to repay, redeem or repurchase any such principal prior to the date originally scheduled for the payment thereof.</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with respect to any Person, means any (i) corporation, limited liability company or other entity (other than a partnership) of which the outstanding Capital Stock having a majority of the votes entitled to be cast in the election of directors, managers or trustees of such entity under ordinary circumstances shall at the time be owned, directly or indirectly, by such Person or any other Person of which a majority of the voting interests under ordinary circumstances is at the time, directly or indirectly, owned by such Person or (ii)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“Unrestricted Subsidiary” </w:t>
      </w:r>
      <w:r>
        <w:rPr>
          <w:rFonts w:ascii="Times New Roman" w:cs="Times New Roman" w:eastAsia="Times New Roman" w:hAnsi="Times New Roman"/>
          <w:sz w:val="18"/>
          <w:szCs w:val="18"/>
          <w:color w:val="auto"/>
        </w:rPr>
        <w:t>means (1) Viper Energy Partners GP LLC, (2) Viper Energy Partners LP,</w:t>
      </w:r>
    </w:p>
    <w:p>
      <w:pPr>
        <w:spacing w:after="0" w:line="29" w:lineRule="exact"/>
        <w:rPr>
          <w:sz w:val="20"/>
          <w:szCs w:val="20"/>
          <w:color w:val="auto"/>
        </w:rPr>
      </w:pPr>
    </w:p>
    <w:p>
      <w:pPr>
        <w:ind w:left="1260" w:right="599"/>
        <w:spacing w:after="0" w:line="250" w:lineRule="auto"/>
        <w:tabs>
          <w:tab w:leader="none" w:pos="15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Energy Partners LLC, (4) Rattler Midstream GP LLC, (5) Rattler Midstream LP, (6) Rattler Midstream Operating LLC, (7) Tall City Towers LLC, (8) Rattler OMOG LLC, (9) Rattler Ajax Processing LLC, (10) Rattler WTG LLC, (11) Rattler Holdings LLC, (12) Rattler BANGL LLC, (13) any other Subsidiary of the Company designated as such pursuant to and in compliance with the Indenture and</w:t>
      </w:r>
    </w:p>
    <w:p>
      <w:pPr>
        <w:spacing w:after="0" w:line="1" w:lineRule="exact"/>
        <w:rPr>
          <w:rFonts w:ascii="Times New Roman" w:cs="Times New Roman" w:eastAsia="Times New Roman" w:hAnsi="Times New Roman"/>
          <w:sz w:val="18"/>
          <w:szCs w:val="18"/>
          <w:color w:val="auto"/>
        </w:rPr>
      </w:pPr>
    </w:p>
    <w:p>
      <w:pPr>
        <w:ind w:left="1260" w:right="579"/>
        <w:spacing w:after="0" w:line="260" w:lineRule="auto"/>
        <w:tabs>
          <w:tab w:leader="none" w:pos="16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an Unrestricted Subsidiary. Notwithstanding the foregoing, if OMOG JV LLC shall constitute a Subsidiary of the Company, it shall constitute an Unrestricted Subsidiary.</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DTC, Clearstream Banking, S.A., Luxembourg (“Clearstream, Luxembourg”) and Euroclear Bank SA/NV, as operator of the Euroclear System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DTC, Clearstream, Luxembourg and Euroclear as they are currently in effect. Those systems could change their rules and procedures at any time. To the extent any disclosure set forth below in this section is different than the disclosure set forth under “Description of Debt Securities” in the Base Prospectus, the disclosure set forth in this Description of Notes will control.</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notes will be represented by one or more global notes in registered, global form without interest coupons (collectively, the “Global Notes”). The Global Notes initially will be deposited upon issuance with the Trustee as custodian for DTC, in New York, New York, and registered in the name of DTC or its nominee, in each case for credit to an account of a direct or indirect participant as described below. You may hold your interests in the Global Notes in the United States through DTC, or in Europe through Clearstream, Luxembourg or Euroclear, either as a participant in such systems or indirectly through organizations which are participants in such systems. Clearstream, Luxembourg and Euroclear will hold interests in the Global Notes on behalf of their respective participating organizations or customers through customers’ securities accounts in Clearstream, Luxembourg’s or Euroclear’s names on the books of their respective depositaries, which in turn will hold those positions in customers’ securities accounts in the depositaries’ names on the books of DTC. All securities in Euroclear or Clearstream are held on a fungible basis without attribution of specific certificates to specific securities clearance accounts.</w:t>
      </w:r>
    </w:p>
    <w:p>
      <w:pPr>
        <w:spacing w:after="0" w:line="125"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 Exchange of Global Notes for Certificated Notes.” In addition, transfers of beneficial interests in the Global Notes will be subject to the applicable rules and procedures of DTC and its direct or indirect participants, which may change from time to time.</w:t>
      </w:r>
    </w:p>
    <w:p>
      <w:pPr>
        <w:spacing w:after="0" w:line="11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notes may be presented for registration of transfer and exchange at the offices of the Security Registrar.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is provided solely as a matter of convenience. These operations and procedures are solely within the control of the respective settlement systems and are subject to changes by them. We believe that the sources from which the information in this section and elsewhere in this prospectus concerning DTC, Euroclear, Euroclear SA/NV, Euroclear Clearance Systems S.C., Euroclear’s system, Clearstream and Clearstream’s system has been obtained are reliable, but neither we, any underwriters nor the trustee takes any responsibility for the accuracy of the information.</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DTC is owned by a number of its participants and by the New York Stock Exchange, Inc. and NYSE Amex Equities.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(including Clearstream, Luxembourg or Euroclear). The ownership interests in, and transfers of ownership interests</w:t>
      </w: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in, each security held by or on behalf of DTC are recorded on the records of the participants and indirect participants (including Clearstream, Luxembourg or Euroclear).</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also advised us that, pursuant to procedures established by it:</w:t>
      </w:r>
    </w:p>
    <w:p>
      <w:pPr>
        <w:spacing w:after="0" w:line="131" w:lineRule="exact"/>
        <w:rPr>
          <w:sz w:val="20"/>
          <w:szCs w:val="20"/>
          <w:color w:val="auto"/>
        </w:rPr>
      </w:pPr>
    </w:p>
    <w:p>
      <w:pPr>
        <w:ind w:left="1980" w:right="61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participants designated by the underwriters with portions of the principal amount of the Global Notes; and</w:t>
      </w:r>
    </w:p>
    <w:p>
      <w:pPr>
        <w:spacing w:after="0" w:line="80" w:lineRule="exact"/>
        <w:rPr>
          <w:rFonts w:ascii="Times New Roman" w:cs="Times New Roman" w:eastAsia="Times New Roman" w:hAnsi="Times New Roman"/>
          <w:sz w:val="18"/>
          <w:szCs w:val="18"/>
          <w:color w:val="auto"/>
        </w:rPr>
      </w:pPr>
    </w:p>
    <w:p>
      <w:pPr>
        <w:ind w:left="1980" w:right="419" w:hanging="360"/>
        <w:spacing w:after="0" w:line="259"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including Clearstream, Luxembourg and Euroclear (with respect to other owners of beneficial interests in the Global Notes).</w:t>
      </w:r>
    </w:p>
    <w:p>
      <w:pPr>
        <w:spacing w:after="0" w:line="33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Investors in the Global Notes who are participants in DTC’s system may hold their interests therein directly through DTC. Investors in the Global Notes who are not participants may hold their interests therein indirectly through organizations which are participants in such system. All interests in a Global Note may be subject to the procedures and requirements of DTC. The laws of some jurisdictions require that certain purchasers of securities take physical delivery of securities they purchase in definitive form. Consequently, the ability to transfer beneficial interests in a Global Note to such persons will be limited to that extent. Because DTC can act only on behalf of participants, which in turn act on behalf of indirect participants (including Clearstream, Luxembourg and Euroclear),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325" w:lineRule="exact"/>
        <w:rPr>
          <w:sz w:val="20"/>
          <w:szCs w:val="20"/>
          <w:color w:val="auto"/>
        </w:rPr>
      </w:pPr>
    </w:p>
    <w:p>
      <w:pPr>
        <w:ind w:left="1260" w:right="79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Except as described below, owners of an interest in the Global Notes will not have notes registered in their names, will not receive physical delivery of notes in certificated form and will not be considered the registered owners or “holders” thereof under the Indenture for any purpose.</w:t>
      </w:r>
    </w:p>
    <w:p>
      <w:pPr>
        <w:spacing w:after="0" w:line="10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will be payable to DTC in its capacity as the registered holder under the Indenture. Under the terms of the Indenture, we and the Trustee will treat the persons in whose names the notes, including the Global Notes, are registered as the owners of the notes for the purpose of receiving payments and for all other purposes. Consequently, none of us, any guarantor or the Trustee, nor any agent of us, any guarantor or the Trustee, has or will have any responsibility or liability for:</w:t>
      </w:r>
    </w:p>
    <w:p>
      <w:pPr>
        <w:spacing w:after="0" w:line="101" w:lineRule="exact"/>
        <w:rPr>
          <w:sz w:val="20"/>
          <w:szCs w:val="20"/>
          <w:color w:val="auto"/>
        </w:rPr>
      </w:pPr>
    </w:p>
    <w:p>
      <w:pPr>
        <w:ind w:left="1980" w:right="799" w:hanging="360"/>
        <w:spacing w:after="0" w:line="261"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98"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9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(including Clearstream, Luxembourg and Euroclear)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us. None of us, any guarantor or the Trustee will be liable for any delay by DTC or any of its participants (including Clearstream, Luxembourg and Euroclear), in identifying the beneficial owners of the notes, and we and the Trustee may conclusively rely on and will be protected in relying on instructions from DTC or its nominee for all purposes.</w:t>
      </w:r>
    </w:p>
    <w:p>
      <w:pPr>
        <w:spacing w:after="0" w:line="333"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None of us, any guarantor or the Trustee, nor any of our respective agents, shall have any responsibility or liability for any aspect of the records relating to or payments made on account of beneficial ownership</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4" w:lineRule="auto"/>
        <w:rPr>
          <w:sz w:val="20"/>
          <w:szCs w:val="20"/>
          <w:color w:val="auto"/>
        </w:rPr>
      </w:pPr>
      <w:r>
        <w:rPr>
          <w:rFonts w:ascii="Times New Roman" w:cs="Times New Roman" w:eastAsia="Times New Roman" w:hAnsi="Times New Roman"/>
          <w:sz w:val="18"/>
          <w:szCs w:val="18"/>
          <w:color w:val="auto"/>
        </w:rPr>
        <w:t>interests of a Global Note or for maintaining, supervising or reviewing any records relating to such beneficial ownership interests. All notices and communications to be given to the holders and all payments to be made to holders in respect of the notes shall be mailed or otherwise given or made only to or upon the order of the registered holders (which shall only be DTC or its nominee in the case of a Global Note), and we and the Trustee may deal with any depositary as sole owner of the Global Notes and as the authorized persons of beneficial owners. The rights of beneficial owners in any global note shall be exercised only through DTC, subject to its applicable rules and procedures. The Trustee may rely and shall be fully protected in relying upon information furnished by DTC with respect to its agent members and other members, participants and any beneficial owners.</w:t>
      </w:r>
    </w:p>
    <w:p>
      <w:pPr>
        <w:spacing w:after="0" w:line="12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Clearstream, Luxembourg or Euroclear will credit payments to the cash accounts of Clearstream, Luxembourg customers or Euroclear participants in accordance with the relevant system’s rules and procedures, to the extent received by its depositary. These payments will be subject to tax reporting in accordance with relevant United States tax laws and regulations. Clearstream, Luxembourg or Euroclear, as the case may be, will take any other action permitted to be taken by a holder under the indenture on behalf of a Clearstream, Luxembourg customer or Euroclear participant only in accordance with its relevant rules and procedures and subject to its depositary’s ability to effect those actions on its behalf through DTC.</w:t>
      </w:r>
    </w:p>
    <w:p>
      <w:pPr>
        <w:spacing w:after="0" w:line="121"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DTC reserves the right to exchange the Global Notes for Certificated Notes, and to distribute such Certificated Notes to its participants.</w:t>
      </w:r>
    </w:p>
    <w:p>
      <w:pPr>
        <w:spacing w:after="0" w:line="10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Although DTC, Clearstream, Luxembourg and Euroclear have agreed to the foregoing procedures in order to facilitate transfers of interests in the Global Notes among participants, they are under no obligation to perform such procedures, and such procedures may be discontinued or changed at any time. None of us, any guarantor or the Trustee nor any agent of us, any guarantor or the Trustee will have any responsibility for the performance by DTC or its participants or indirect participants (including Clearstream, Luxembourg and Euroclear), of their respective obligations under the rules and procedures governing their operations.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Transfers Within and Among Book-Entry Systems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Transfers between DTC’s direct participants will occur in accordance with DTC’s procedures, and will be settled in same-day funds. Transfers between Clearstream, Luxembourg customers and Euroclear participants will occur in accordance with their respective applicable rules and operating procedures.</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DTC will effect cross-market transfers between persons holding directly or indirectly through DTC, on the one hand, and directly or indirectly through Clearstream, Luxembourg customers or Euroclear participants, on the other hand, in accordance with DTC rules on behalf of the relevant European international clearing system by its depositary. However, cross-market transactions will require delivery of instructions to the relevant European international clearing system by the counterparty in that system in accordance with its rules and procedures and within its established deadlines (European time). The relevant European international clearing system will, if the transaction meets its settlement requirements, instruct its depositary to effect final settlement on its behalf by delivering or receiving securities in DTC and making or receiving payment in accordance with normal procedures for same-day funds settlement applicable to DTC. Clearstream, Luxembourg customers and Euroclear participants may not deliver instructions directly to the depositaries.</w:t>
      </w:r>
    </w:p>
    <w:p>
      <w:pPr>
        <w:spacing w:after="0" w:line="32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Although DTC, Clearstream, Luxembourg and Euroclear have agreed to the foregoing procedures in order to facilitate transfers of securities among their respective participants, they are under no obligation to perform or continue to perform such procedures and such procedures may be discontinued at any time.</w:t>
      </w: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Global Notes for Certificated Notes</w:t>
      </w:r>
    </w:p>
    <w:p>
      <w:pPr>
        <w:spacing w:after="0" w:line="162"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A Global Note is exchangeable for definitive certificated notes in registered certificated form (“Certificated Notes”) if:</w:t>
      </w:r>
    </w:p>
    <w:p>
      <w:pPr>
        <w:spacing w:after="0" w:line="94" w:lineRule="exact"/>
        <w:rPr>
          <w:sz w:val="20"/>
          <w:szCs w:val="20"/>
          <w:color w:val="auto"/>
        </w:rPr>
      </w:pPr>
    </w:p>
    <w:p>
      <w:pPr>
        <w:ind w:left="1980" w:hanging="360"/>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us that it is unwilling or unable to continue as depositary for the Global Notes or</w:t>
      </w:r>
    </w:p>
    <w:p>
      <w:pPr>
        <w:spacing w:after="0" w:line="27" w:lineRule="exact"/>
        <w:rPr>
          <w:rFonts w:ascii="Times New Roman" w:cs="Times New Roman" w:eastAsia="Times New Roman" w:hAnsi="Times New Roman"/>
          <w:sz w:val="18"/>
          <w:szCs w:val="18"/>
          <w:color w:val="auto"/>
        </w:rPr>
      </w:pPr>
    </w:p>
    <w:p>
      <w:pPr>
        <w:ind w:left="1980" w:right="9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has ceased to be a clearing agency registered under the Exchange Act at a time when the Depositary is required to be so registered in order to act as depositary, and, in each case, a successor depositary is not appointed within 90 days; or</w:t>
      </w:r>
    </w:p>
    <w:p>
      <w:pPr>
        <w:spacing w:after="0" w:line="104"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and the Security Registrar has received a request from the depositary to deliver Certificated Notes to all beneficial owners in exchange for their beneficial interests in such Global Note.</w:t>
      </w:r>
    </w:p>
    <w:p>
      <w:pPr>
        <w:spacing w:after="0" w:line="10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Certificated Notes for Global Notes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48"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We will pay principal of, premium, if any, and interest on the notes represented by the Global Notes registered in the name of or held by DTC or its nominee in immediately available funds to DTC or its nominee, as the case may be, as the registered holder of such Global Note. The notes represented by the Global Notes are expected to be eligible to trade in DTC’s Same-Day Funds Settlement System, and any permitted secondary market trading activity in such notes will, therefore, be required by DTC to be settled in immediately available funds. We expect that secondary trading in any Certificated Notes will also be settled in immediately available funds.</w:t>
      </w:r>
    </w:p>
    <w:p>
      <w:pPr>
        <w:spacing w:after="0" w:line="121"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Clearstream, Luxembourg customer or Euroclear participant purchasing an interest in a Global Note from another customer or participant will be credited, and any such crediting will be reported to the relevant Clearstream, Luxembourg customer or Euroclear participant, during the securities settlement processing day (which must be a business day for Euroclear and Clearstream) immediately following the settlement date of DTC. DTC has advised us that cash received in Clearstream, Luxembourg or Euroclear as a result of sales of interests in a Global Note by or through a Clearstream, Luxembourg customer or Euroclear participant to another customer or participant will be received with value on the settlement date of DTC but will be available in the relevant Clearstream, Luxembourg or Euroclear cash account only as of the business day for Euroclear or Clearstream, Luxembourg following DTC’s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following general discussion summarizes certain U.S. federal income tax consequences of owning and disposing of the notes by holders who purchase notes for cash at their original issuance at the “issue price” within the meaning of the Internal Revenue Code of 1986, as amended (the “Code”) . The issue price of the notes is the first price at which a substantial amount of the notes is sold to investors other than to bond houses, brokers or similar persons or organizations acting in the capacity of underwriters, placement agents or wholesalers. This discussion is included for general information only and does not address all of the potential tax consequences that may be relevant to you in light of your particular investment or other circumstances. This discussion is based on U.S. federal income tax law, including the Code, its legislative history, existing and proposed Treasury Regulations thereunder, published administrative rulings and court decisions, all as in effect on the date of this document, and all of which are subject to change, possibly on a retroactive basis. Subsequent developments in U.S. federal income tax law, including changes in law or differing interpretations, which may be applied retroactively could have a material effect on the U.S. federal income tax consequences of purchasing, owning and disposing of notes as described below. We have not sought any ruling from the Internal Revenue Service (“IRS”) with respect to the statements made and conclusions reached in this discussion, and there can be no assurance that the IRS or a court will agree with and not challenge these statements and conclusions.</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discussion, you are a “U.S. holder” if you are a beneficial owner of notes and you</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w:t>
      </w:r>
    </w:p>
    <w:p>
      <w:pPr>
        <w:spacing w:after="0" w:line="84" w:lineRule="exact"/>
        <w:rPr>
          <w:sz w:val="20"/>
          <w:szCs w:val="20"/>
          <w:color w:val="auto"/>
        </w:rPr>
      </w:pPr>
    </w:p>
    <w:p>
      <w:pPr>
        <w:ind w:left="1800" w:right="6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 including an alien individual who is a lawful permanent resident of the United States or who meets the “substantial presence” test under Section 7701(b) of the Code;</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of any political subdivision of the United States, including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the source of that income;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U.S. court is able to exercise primary supervision over the administration of the trust and one or more “United States persons” (as​ defined in the Code) have the authority to control all substantial decisions of the trust or a trust that has a valid election in effect under applicable Treasury Regulations to be treated as a U.S. person.</w:t>
      </w:r>
    </w:p>
    <w:p>
      <w:pPr>
        <w:spacing w:after="0" w:line="99" w:lineRule="exact"/>
        <w:rPr>
          <w:sz w:val="20"/>
          <w:szCs w:val="20"/>
          <w:color w:val="auto"/>
        </w:rPr>
      </w:pPr>
    </w:p>
    <w:p>
      <w:pPr>
        <w:jc w:val="both"/>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Resident aliens are subject to U.S. federal income tax as if they were U.S. holders. An individual may, subject to exceptions, be deemed to be a resident alien, as opposed to a non- resident alien, by, among other ways, being present in the U.S. for at least 31 days in the calendar year, and for an aggregate of at least</w:t>
      </w:r>
    </w:p>
    <w:p>
      <w:pPr>
        <w:spacing w:after="0" w:line="2" w:lineRule="exact"/>
        <w:rPr>
          <w:sz w:val="20"/>
          <w:szCs w:val="20"/>
          <w:color w:val="auto"/>
        </w:rPr>
      </w:pPr>
    </w:p>
    <w:p>
      <w:pPr>
        <w:ind w:left="1260" w:right="639"/>
        <w:spacing w:after="0" w:line="246" w:lineRule="auto"/>
        <w:rPr>
          <w:sz w:val="20"/>
          <w:szCs w:val="20"/>
          <w:color w:val="auto"/>
        </w:rPr>
      </w:pPr>
      <w:r>
        <w:rPr>
          <w:rFonts w:ascii="Times New Roman" w:cs="Times New Roman" w:eastAsia="Times New Roman" w:hAnsi="Times New Roman"/>
          <w:sz w:val="18"/>
          <w:szCs w:val="18"/>
          <w:color w:val="auto"/>
        </w:rPr>
        <w:t>183 days during a three-year period ending in the current calendar year, counting for these purposes all of the days present in the current year, one-third of the days present in the immediately preceding year and one- sixth of the days present in the second preceding year.</w:t>
      </w:r>
    </w:p>
    <w:p>
      <w:pPr>
        <w:spacing w:after="0" w:line="113" w:lineRule="exact"/>
        <w:rPr>
          <w:sz w:val="20"/>
          <w:szCs w:val="20"/>
          <w:color w:val="auto"/>
        </w:rPr>
      </w:pPr>
    </w:p>
    <w:p>
      <w:pPr>
        <w:ind w:left="1260" w:right="1339" w:firstLine="360"/>
        <w:spacing w:after="0" w:line="266" w:lineRule="auto"/>
        <w:rPr>
          <w:sz w:val="20"/>
          <w:szCs w:val="20"/>
          <w:color w:val="auto"/>
        </w:rPr>
      </w:pPr>
      <w:r>
        <w:rPr>
          <w:rFonts w:ascii="Times New Roman" w:cs="Times New Roman" w:eastAsia="Times New Roman" w:hAnsi="Times New Roman"/>
          <w:sz w:val="18"/>
          <w:szCs w:val="18"/>
          <w:color w:val="auto"/>
        </w:rPr>
        <w:t>You are a “non-U.S. holder” if you are, for U.S. federal income tax purposes, an individual, corporation, estate or trust and you are not a U.S. holder.</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notes, the U.S. federal income tax treatment of a partner in the partnership will generally depend on the status of the partner, the status and the activities of the partner and the partnership, and certain determinations made at the partner level. Partners of partnerships (or other entity or arrangement treated as a partnership for U.S. federal income tax purposes) considering purchasing notes should consult their own tax advisors.</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This discussion only applies to holders who hold the notes as “capital assets” within the meaning of Section 1221 of the Code (generally, property held for investment). The tax treatment of holders of the notes may vary depending upon their particular situations. This discussion does not address all U.S. federal income tax consequences relevant to a holder’s particular circumstances. Certain holders, including insurance companies, tax-exempt organizations, banks and other financial institutions, pass-through</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entities (and other entities treated as partnerships for U.S. federal income tax purposes) and investors in such pass-through entities, foreign governments and international organizations, “controlled foreign corporations,” “passive foreign investment companies” or corporations that accumulate earnings to avoid U.S. federal income tax, certain U.S. expatriates, taxpayers subject to the alternative minimum tax, broker-dealers, traders in securities that elect to use a mark-to-market method of accounting for their securities holdings, U.S. holders whose functional currency is not the U.S. dollar, regulated investment companies, real estate investment trusts, persons holding the notes as part of a “straddle,” “hedge” or “conversion transaction” and persons subject to special tax accounting rules as a result of any item of gross income with respect to the notes being taken into account in an applicable financial statement, may be subject to special rules not discussed below, and as such are not covered by this discussion. This discussion does not address any estate, gift, foreign, state or local tax consequences. We urge you to consult your own tax advisors regarding the particular U.S. federal income tax consequences to you of holding and disposing of notes, any tax consequences that may arise under the laws of any relevant foreign, state, local, or other taxing jurisdiction or under any applicable tax treaty, as well as possible effects of changes in federal or other tax laws.</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that will apply to 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holders of the notes.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 of Interest on the Notes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Stated interest on a note will generally be taxable to you as ordinary income at the time it is received or accrued, depending on your method of accounting for U.S. federal income tax purposes. If you use the cash method of accounting for U.S. federal income tax purposes, you generally will have to include the interest on your notes in your gross income at the time that you receive the interest. If you use the accrual method of accounting for U.S. federal income tax purposes, you generally will have to include the interest on your notes in your gross income at the time that the interest accrues.</w:t>
      </w:r>
    </w:p>
    <w:p>
      <w:pPr>
        <w:spacing w:after="0" w:line="10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certain circumstances, as described under “Description of Notes — Optional Redemption,” we may be obligated to pay amounts on the notes that are in excess of stated interest or principal on the notes. If any such payment is made, you may be required to recognize additional income or gain. Although we do not intend to treat the remote possibility of paying such additional amounts as causing the notes to be treated as contingent payment debt instruments subject to special rules, it is possible that the IRS may take a different position, in which case a holder might be required to accrue interest income at a higher rate than the stated interest rate and to treat as ordinary interest income any gain realized on the taxable disposition of the note. Our determination that this possibility is remote is binding on you unless you disclose your contrary position to the IRS in the manner that is required by applicable U.S. Treasury regulations. Our determination is not, however, binding on the IRS. The remainder of this discussion assumes that the notes will not be treated as contingent payment debt instruments. Investors should consult their own tax advisors regarding the possible application of the contingent payment debt instrument rules to the notes.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Taxable Exchange, Redemption, Retirement or Other Taxable Disposition of the Notes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Upon a sale, taxable exchange, redemption, retirement or other taxable disposition of a note, you generally will recognize gain or loss equal to the difference, if any, between the amount received for the note in cash or other property valued at fair market value (less any amount attributable to accrued and unpaid interest, which will be taxable as ordinary income to the extent you have not previously included such interest in gross income) and your adjusted tax basis in the note at that time. Your adjusted tax basis in a note will be equal to the amount you paid for the note, decreased by any payments made on the notes other than payments of stated interest.</w:t>
      </w:r>
    </w:p>
    <w:p>
      <w:pPr>
        <w:spacing w:after="0" w:line="336" w:lineRule="exact"/>
        <w:rPr>
          <w:sz w:val="20"/>
          <w:szCs w:val="20"/>
          <w:color w:val="auto"/>
        </w:rPr>
      </w:pPr>
    </w:p>
    <w:p>
      <w:pPr>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Your gain or loss realized on the sale, taxable exchange, redemption, retirement or other taxable disposition of a note generally will be capital gain or loss, and will be long-term capital gain or loss if, at the time of sale, taxable exchange, redemption, retirement or other taxable disposition, you have held the note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5" w:lineRule="auto"/>
        <w:rPr>
          <w:sz w:val="20"/>
          <w:szCs w:val="20"/>
          <w:color w:val="auto"/>
        </w:rPr>
      </w:pPr>
      <w:r>
        <w:rPr>
          <w:rFonts w:ascii="Times New Roman" w:cs="Times New Roman" w:eastAsia="Times New Roman" w:hAnsi="Times New Roman"/>
          <w:sz w:val="18"/>
          <w:szCs w:val="18"/>
          <w:color w:val="auto"/>
        </w:rPr>
        <w:t>for more than one year. Under current law, long-term capital gains of individuals, estates and trusts are generally taxed at lower rates than items of ordinary income. The deductibility of capital losses is subject to limitations.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general, information reporting requirements will apply to principal and interest payments on the notes and to the proceeds of the sale or other disposition of a note (including a redemption or retirement) unless you are a corporation or other exempt recipient and, if requested, certify such status. These amounts generally must be reported to the IRS and to you. Additionally, backup withholding will apply to such payments if you are a non-corporate U.S. holder and fail to provide a correct taxpayer identification number or certification of exempt status or fail to report full dividend and interest income or otherwise fail to comply with applicable requirements of the backup withholding rules.</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Presently, the backup withholding rate is 24%, but may be changed in the future. Backup withholding is not an additional tax. If backup withholding applies to you, you may use the amounts withheld as a credit against your U.S. federal income tax liability (and you may be entitled to a refund if backup withholding results in an overpayment of taxes), as long as you timely provide certain information to the IRS. Certain U.S. holders are exempt from backup withholding, including corporations and certain tax-exempt organizations. You should consult their tax advisors regarding their qualification for an exemption from backup withholding and the procedures for obtaining such an exemption.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 3.8% tax is imposed on the “net investment income” of certain U.S. individuals, and on the undistributed “net investment income” of certain estates and trusts. Among other items, “net investment income” generally includes interest income and certain net gain from the disposition of property, such as the notes, less certain deductions. U.S. holders that are individuals, estates or trusts should consult their tax advisors regarding the effect, if any, of these rules on their ownership and disposition of the notes.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that will apply to non-U.S. holders of the notes.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below, interest that we pay to you that is not effectively connected with your conduct of a U.S. trade or business will generally not be subject to U.S. federal income tax or withholding of U.S. federal income tax if you:</w:t>
      </w:r>
    </w:p>
    <w:p>
      <w:pPr>
        <w:spacing w:after="0" w:line="68" w:lineRule="exact"/>
        <w:rPr>
          <w:sz w:val="20"/>
          <w:szCs w:val="20"/>
          <w:color w:val="auto"/>
        </w:rPr>
      </w:pPr>
    </w:p>
    <w:p>
      <w:pPr>
        <w:ind w:left="1800" w:right="6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directly or indirectly, actually or constructively, own 10% or more of the combined voting power of all classes of our stock entitled to vote;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a controlled foreign corporation for U.S. federal income tax purposes with respect to which we are a “related person” within the meaning of the Code; and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to us, our paying agent, or the person who would otherwise be required to withhold U.S. federal income tax, on IRS Form W-8BEN or W-8BEN-E or an applicable successor or substitute form, under penalties of perjury, that you are not a U.S. person and provide your name and address.</w:t>
      </w:r>
    </w:p>
    <w:p>
      <w:pPr>
        <w:spacing w:after="0" w:line="108"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If you do not satisfy the preceding requirements, your interest on a note that is not effectively connected with a U.S. trade or business will generally be subject to U.S. withholding tax at a flat rate of 30% unless that rate is reduced or eliminated pursuant to an applicable tax treaty and you provide the withholding agent a properly executed IRS Form W-8BEN or W-8BEN-E (or other applicable or successor form). If you hold the notes through certain foreign intermediaries or partnerships, you and the foreign intermediary or partnership may be required to satisfy certain requirements under applicable Treasury Regulations in order to avoid U.S. federal withholding tax.</w:t>
      </w: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Subject to the discussion of backup withholding tax below, you generally will not be subject to U.S. federal income tax on any gain or income realized from the sale, taxable exchange, redemption, retirement or other taxable disposition of a note (less any amount attributable to accrued and unpaid interest, which will be taxable as described under “Non-U.S. Holders — Interest”) unless:</w:t>
      </w:r>
    </w:p>
    <w:p>
      <w:pPr>
        <w:spacing w:after="0" w:line="69" w:lineRule="exact"/>
        <w:rPr>
          <w:sz w:val="20"/>
          <w:szCs w:val="20"/>
          <w:color w:val="auto"/>
        </w:rPr>
      </w:pPr>
    </w:p>
    <w:p>
      <w:pPr>
        <w:ind w:left="1800" w:right="43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or gain is effectively connected with your conduct of a U.S. trade or business in the United States, and, if a U.S. income tax treaty applies, is attributable to a permanent establishment or fixed base you maintain in the United States; or</w:t>
      </w:r>
    </w:p>
    <w:p>
      <w:pPr>
        <w:spacing w:after="0" w:line="54"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nonresident alien individual, you are present in the United States for 183 or more days in the taxable year of the disposition and certain other requirements are met.</w:t>
      </w:r>
    </w:p>
    <w:p>
      <w:pPr>
        <w:spacing w:after="0" w:line="9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you are a non-U.S. holder described in the first bullet point above, you generally will be subject to U.S. federal income tax in the same manner as a U.S. holder unless an applicable income tax treaty provides otherwise. See “— Non-U.S. Holder — Income or Gain Effectively Connected with a U.S. Trade or Business.” If you are a non-U.S. holder described in the second bullet point above, you will be subject to a flat 30% U.S. federal income tax or a lower applicable treaty rate on the gain derived from the sale or other disposition, which may be offset by U.S.-source capital losses.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U.S. Trade or Business</w:t>
      </w:r>
    </w:p>
    <w:p>
      <w:pPr>
        <w:spacing w:after="0" w:line="16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If you are engaged in trade or business in the United States, and interest on, or gain on the sale, redemption, exchange, retirement or other taxable disposition of a note is effectively connected with the conduct of that trade or business and, in the case of an applicable tax treaty, is attributable to a permanent establishment you maintain in the United States, you will be exempt from U.S. withholding tax but will be subject to regular U.S. federal income tax on such interest or gain on a net income basis generally in the same manner as if you were a U.S. holder. In order to establish an exemption from U.S. withholding tax, you must provide to us, our paying agent or the person who would otherwise be required to withhold U.S. federal income tax, a properly completed and executed IRS Form W- 8ECI or applicable successor or substitute form on or before any payment date. In addition to regular U.S. federal income tax, if you are a foreign corporation, you may be subject to U.S. branch profits tax equal to 30% of your effectively connected earnings and profits for the taxable year, as adjusted for certain items, unless an applicable tax treaty provides for a lower rate. For this purpose, you must include interest and gain on your notes in the earnings and profits subject to the U.S. branch profits tax if these amounts are effectively connected with the conduct of your U.S. trade or business.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Payments to non-U.S. holders of interest on a note, and amounts withheld from such payments, if any, generally will be required to be reported to the IRS and to you. Backup withholding generally will not apply to payments of interest on the notes by us or our paying agent or the person who would otherwise be required to withhold U.S. federal income tax to you if you certify as to your non -U.S. status under penalties of perjury or otherwise establish an exemption, provided that neither we nor our paying agent has actual knowledge or reason to know that you are a U.S. person or that the conditions of any other exemptions are not in fact satisfied.</w:t>
      </w:r>
    </w:p>
    <w:p>
      <w:pPr>
        <w:spacing w:after="0" w:line="3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payments of the gross proceeds from the disposition of notes (including redemption or retirement) to or through the U.S. office of a U.S. or foreign broker will be subject to information reporting and backup withholding unless you provide the certification described above under “Non-U.S. Holders — Interest” or otherwise establish an exemption. If you sell your notes outside the United States through a non-U.S. office of a non-U.S. broker and the sales proceeds are paid to you outside the United States, then the U.S. backup withholding and information reporting requirements generally will not apply to that payment. However, if that broker is a U.S. person or is a foreign branch or office of a U.S. person, a controlled foreign corporation for U.S. tax purposes, a foreign person 50% or more of whose gross income from all sources for certain periods is effectively connected with a trade or business in the United States, or a foreign partnership that is engaged in the conduct of a trade or business in the United States or that has one or more partners that are U.S. persons who in the aggregate hold more than 50% of the income or capital interests in the</w:t>
      </w: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partnership, information reporting requirements will apply unless that broker has documentary evidence in its files of your non-U.S. status and has no actual knowledge to the contrary or unless you otherwise establish an exemption.</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You are urged to consult your tax advisors regarding the application of information reporting and backup withholding to your particular situation, the availability of an exemption therefrom, and the procedure for obtaining such an exemption, if available. Any amounts withheld from a payment to you under the backup withholding rules will be allowed as a credit against your U.S. federal income tax liability and may entitle you to a refund, provided you timely furnish the required information to the IRS.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(provisions which are commonly referred to as “FATCA”) and applicable Treasury Regulations and administrative guidance thereunder may require withholding at a rate of 30% on interest on the notes if paid to a “foreign financial institution” or a “non-financial foreign entity” (each as defined in the Code) (including, in some cases, when such foreign financial institution or non-financial foreign entity is acting as an intermediary with respect to the payments) unless: (i) in the case of a foreign financial institution, such institution certifies that it has entered into an agreement with the U.S. government to report and disclose, on an annual basis, information with respect to its U.S. accountholders and meets certain other specified requirements, (ii) in the case of a non-financial foreign entity, such entity certifies that it does not have any “substantial United States owners” (as​ defined in the Code) or provides certain information regarding the entity’s “substantial United States owners” and such entity meets certain other specified requirements, or (iii) the foreign financial institution or non-financial foreign entity otherwise qualifies for an exemption from these rules and provides appropriate documentation (such as an IRS Form W-8BEN-E). A foreign financial institution generally is a foreign entity that (i) accepts deposits in the ordinary course of a banking or similar business, (ii) as a substantial portion of its business, holds financial assets for the benefit of one or more other persons, or (iii) is an investment entity that, in general, primarily conducts as a business on behalf of customers trading in certain financial instruments, individual or collective portfolio management or otherwise investing, administering, or managing funds, money or certain financial assets on behalf of other persons. Foreign financial institutions located in jurisdictions that have an intergovernmental agreement with the United States governing FATCA may be subject to different rules. Accordingly, the entity through which the notes are held will affect the determination of whether such withholding is required.</w:t>
      </w:r>
    </w:p>
    <w:p>
      <w:pPr>
        <w:spacing w:after="0" w:line="32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Treasury regulations have been proposed (upon which taxpayers and withholding agents are entitled to rely until final Treasury Regulations are issued) that would, when finalized, eliminate FATCA withholding on the gross proceeds (other than amounts treated as interest) from a sale or other taxable disposition of instruments, such as the notes, that produce withholdable payments. Investors should consult their tax advisors regarding the possible impact of the FATCA rules on their investment in the notes, including, without limitation, the process and deadlines for meeting the applicable requirements to prevent the imposition of the 30% withholding tax under FATCA.</w:t>
      </w:r>
    </w:p>
    <w:p>
      <w:pPr>
        <w:spacing w:after="0" w:line="11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INCOME TAX CONSEQUENCES IS FOR GENERAL INFORMATION ONLY AND IS NOT TAX ADVICE. DUE TO THE COMPLEXITY OF THE U.S. FEDERAL INCOME TAX RULES APPLICABLE TO NOTEHOLDERS AND THE CONSIDERABLE UNCERTAINTY THAT EXISTS WITH RESPECT TO MANY ASPECTS OF THOSE RULES, WE URGE YOU TO CONSULT YOUR OWN TAX ADVISOR REGARDING THE PARTICULAR FEDERAL, STATE, LOCAL AND FOREIGN TAX CONSEQUENCES OF PURCHASING, HOLDING AND DISPOSING OF OUR NOTES,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TD Securities (USA) LLC, Citigroup Global Markets Inc. and Truist Securities, Inc.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r>
      <w:tr>
        <w:trPr>
          <w:trHeight w:val="162"/>
        </w:trPr>
        <w:tc>
          <w:tcPr>
            <w:tcW w:w="36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Amount of</w:t>
            </w:r>
          </w:p>
        </w:tc>
      </w:t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8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2"/>
          </w:tcPr>
          <w:p>
            <w:pPr>
              <w:ind w:left="20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Notes   </w:t>
            </w:r>
            <w:r>
              <w:rPr>
                <w:rFonts w:ascii="Times New Roman" w:cs="Times New Roman" w:eastAsia="Times New Roman" w:hAnsi="Times New Roman"/>
                <w:sz w:val="24"/>
                <w:szCs w:val="24"/>
                <w:b w:val="1"/>
                <w:bCs w:val="1"/>
                <w:color w:val="auto"/>
                <w:vertAlign w:val="subscript"/>
              </w:rPr>
              <w:t>​</w:t>
            </w:r>
          </w:p>
        </w:tc>
      </w:tr>
      <w:tr>
        <w:trPr>
          <w:trHeight w:val="20"/>
        </w:trPr>
        <w:tc>
          <w:tcPr>
            <w:tcW w:w="364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25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42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2"/>
                <w:szCs w:val="22"/>
                <w:color w:val="auto"/>
              </w:rPr>
            </w:pPr>
          </w:p>
        </w:tc>
        <w:tc>
          <w:tcPr>
            <w:tcW w:w="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760" w:type="dxa"/>
            <w:vAlign w:val="bottom"/>
            <w:gridSpan w:val="4"/>
          </w:tcPr>
          <w:p>
            <w:pPr>
              <w:ind w:left="216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760" w:type="dxa"/>
            <w:vAlign w:val="bottom"/>
            <w:gridSpan w:val="4"/>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4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gridSpan w:val="2"/>
          </w:tcPr>
          <w:p>
            <w:pPr>
              <w:spacing w:after="0"/>
              <w:rPr>
                <w:sz w:val="4"/>
                <w:szCs w:val="4"/>
                <w:color w:val="auto"/>
              </w:rPr>
            </w:pPr>
          </w:p>
        </w:tc>
      </w:tr>
      <w:tr>
        <w:trPr>
          <w:trHeight w:val="25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Borders>
              <w:bottom w:val="single" w:sz="8" w:color="CCEEFF"/>
            </w:tcBorders>
            <w:shd w:val="clear" w:color="auto" w:fill="CCEEFF"/>
          </w:tcPr>
          <w:p>
            <w:pPr>
              <w:ind w:left="2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3"/>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420" w:type="dxa"/>
            <w:vAlign w:val="bottom"/>
            <w:tcBorders>
              <w:bottom w:val="single" w:sz="8" w:color="CCEEFF"/>
            </w:tcBorders>
          </w:tcPr>
          <w:p>
            <w:pPr>
              <w:spacing w:after="0"/>
              <w:rPr>
                <w:sz w:val="4"/>
                <w:szCs w:val="4"/>
                <w:color w:val="auto"/>
              </w:rPr>
            </w:pPr>
          </w:p>
        </w:tc>
        <w:tc>
          <w:tcPr>
            <w:tcW w:w="2340" w:type="dxa"/>
            <w:vAlign w:val="bottom"/>
            <w:tcBorders>
              <w:bottom w:val="single" w:sz="8" w:color="CCEEFF"/>
            </w:tcBorders>
            <w:gridSpan w:val="2"/>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r>
      <w:tr>
        <w:trPr>
          <w:trHeight w:val="28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gridSpan w:val="5"/>
            <w:shd w:val="clear" w:color="auto" w:fill="CCEEFF"/>
          </w:tcPr>
          <w:p>
            <w:pPr>
              <w:ind w:left="216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862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7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10"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10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notes to the public at the public offering prices set forth on the cover page of this prospectus supplement and to certain dealers at such price less a concession not in excess of        % of the principal amount of the notes.</w:t>
      </w:r>
    </w:p>
    <w:p>
      <w:pPr>
        <w:spacing w:after="0" w:line="2"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The underwriters may allow, and such other dealers may reallow, a concession not in excess of        % of the principal amount of the notes to certain other dealers. After the initial offering, the public offering price, concession or any other term of the offering may be changed.</w:t>
      </w:r>
    </w:p>
    <w:p>
      <w:pPr>
        <w:spacing w:after="0" w:line="113"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shows the underwriting discount to be paid to the underwriters in connection with this offering (expressed as a percentage of the principal amount of the notes).</w:t>
      </w:r>
    </w:p>
    <w:tbl>
      <w:tblPr>
        <w:tblLayout w:type="fixed"/>
        <w:tblInd w:w="1620" w:type="dxa"/>
        <w:tblCellMar>
          <w:top w:w="0" w:type="dxa"/>
          <w:left w:w="0" w:type="dxa"/>
          <w:bottom w:w="0" w:type="dxa"/>
          <w:right w:w="0" w:type="dxa"/>
        </w:tblCellMar>
      </w:tblPr>
      <w:tr>
        <w:trPr>
          <w:trHeight w:val="364"/>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0" w:type="dxa"/>
            <w:vAlign w:val="bottom"/>
            <w:gridSpan w:val="3"/>
          </w:tcPr>
          <w:p>
            <w:pPr>
              <w:jc w:val="center"/>
              <w:ind w:left="2824"/>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Paid by us</w:t>
            </w:r>
            <w:r>
              <w:rPr>
                <w:rFonts w:ascii="Times New Roman" w:cs="Times New Roman" w:eastAsia="Times New Roman" w:hAnsi="Times New Roman"/>
                <w:sz w:val="28"/>
                <w:szCs w:val="28"/>
                <w:b w:val="1"/>
                <w:bCs w:val="1"/>
                <w:color w:val="auto"/>
                <w:vertAlign w:val="subscript"/>
              </w:rPr>
              <w:t>​</w:t>
            </w:r>
          </w:p>
        </w:tc>
      </w:tr>
      <w:tr>
        <w:trPr>
          <w:trHeight w:val="20"/>
        </w:trPr>
        <w:tc>
          <w:tcPr>
            <w:tcW w:w="36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3860" w:type="dxa"/>
            <w:vAlign w:val="bottom"/>
            <w:gridSpan w:val="2"/>
            <w:shd w:val="clear" w:color="auto" w:fill="CCEEFF"/>
          </w:tcPr>
          <w:p>
            <w:pPr>
              <w:jc w:val="center"/>
              <w:ind w:left="2924"/>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w:t>
            </w:r>
          </w:p>
        </w:tc>
        <w:tc>
          <w:tcPr>
            <w:tcW w:w="14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w w:val="71"/>
              </w:rPr>
              <w:t>​</w:t>
            </w:r>
            <w:r>
              <w:rPr>
                <w:rFonts w:ascii="Times New Roman" w:cs="Times New Roman" w:eastAsia="Times New Roman" w:hAnsi="Times New Roman"/>
                <w:sz w:val="30"/>
                <w:szCs w:val="30"/>
                <w:color w:val="auto"/>
                <w:w w:val="71"/>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-179705</wp:posOffset>
            </wp:positionV>
            <wp:extent cx="43376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97"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            and are payable by us. We have also agreed to reimburse the underwriters for certain of their expenses in an amount up to $20,000.</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national securities exchange. We have been advised by the underwriters that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 2022 which will be the                     th business day following the date of this prospectus supplement (such settlement being referred to as “T+            ”). Under Rule 15c6-1 under the Securities Exchange Act of 1934, trades in the secondary market are required to settle in two business days, unless the parties to any such trade expressly agree otherwise. Accordingly, purchasers who wish to trade notes prior to the second business day before delivery of the notes hereunder will be required, by virtue of the fact that the notes initially settle in T+            , to specify an alternate settlement arrangement at the time of any such trade to prevent a failed settlement. Purchasers of the notes who wish to trade the notes prior to the second business day before delivery hereunder should consult their advisors.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agreed that we will not, for a period of 30 days after the date of this prospectus supplement, without first obtaining the prior written consent of the representatives, directly or indirectly, issue, sell, offer to contract or grant any option to sell, pledge, transfer or otherwise dispose of, any debt securities or securities exchangeable for or convertible into debt securities, except for the notes sold to the underwriters pursuant to the underwriting agreement.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1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12"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Specifically, an affiliate of TD Securities (USA) LLC and certain other underwriters and/or their affiliates serve in various roles, under our revolving credit facility.</w:t>
      </w:r>
    </w:p>
    <w:p>
      <w:pPr>
        <w:spacing w:after="0" w:line="116"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of those underwriters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w:t>
      </w:r>
    </w:p>
    <w:p>
      <w:pPr>
        <w:spacing w:after="0" w:line="1" w:lineRule="exact"/>
        <w:rPr>
          <w:sz w:val="20"/>
          <w:szCs w:val="20"/>
          <w:color w:val="auto"/>
        </w:rPr>
      </w:pPr>
    </w:p>
    <w:p>
      <w:pPr>
        <w:ind w:left="1260" w:right="559"/>
        <w:spacing w:after="0"/>
        <w:tabs>
          <w:tab w:leader="none" w:pos="16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3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underwriters has represented and agreed that:</w:t>
      </w:r>
    </w:p>
    <w:p>
      <w:pPr>
        <w:spacing w:after="0" w:line="144" w:lineRule="exact"/>
        <w:rPr>
          <w:sz w:val="20"/>
          <w:szCs w:val="20"/>
          <w:color w:val="auto"/>
        </w:rPr>
      </w:pPr>
    </w:p>
    <w:p>
      <w:pPr>
        <w:jc w:val="both"/>
        <w:ind w:left="1980" w:right="419" w:hanging="360"/>
        <w:spacing w:after="0" w:line="266"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99"/>
        <w:spacing w:after="0" w:line="258" w:lineRule="auto"/>
        <w:rPr>
          <w:sz w:val="20"/>
          <w:szCs w:val="20"/>
          <w:color w:val="auto"/>
        </w:rPr>
      </w:pPr>
      <w:r>
        <w:rPr>
          <w:rFonts w:ascii="Times New Roman" w:cs="Times New Roman" w:eastAsia="Times New Roman" w:hAnsi="Times New Roman"/>
          <w:sz w:val="18"/>
          <w:szCs w:val="18"/>
          <w:color w:val="auto"/>
        </w:rPr>
        <w:t>notes which are the subject of the offering contemplated by this prospectus supplement and the accompanying prospectus in circumstances in which Section 21(1) of the FSMA does not apply to the issuer; and</w:t>
      </w:r>
    </w:p>
    <w:p>
      <w:pPr>
        <w:spacing w:after="0" w:line="102" w:lineRule="exact"/>
        <w:rPr>
          <w:sz w:val="20"/>
          <w:szCs w:val="20"/>
          <w:color w:val="auto"/>
        </w:rPr>
      </w:pPr>
    </w:p>
    <w:p>
      <w:pPr>
        <w:ind w:left="1980" w:right="639" w:hanging="360"/>
        <w:spacing w:after="0" w:line="282"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notes in, from or otherwise involving the United Kingdom.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4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2"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or sold and will not offer or sell the notes in Hong Kong by means of any document other than to “professional investors” within the meaning of the Securities and Futures Ordinance (Cap. 571, Laws of Hong Kong) and any rules made thereunder, or other than in circumstances which do not constitute an offer to the public within the meaning of the Companies (Winding Up and Miscellaneous Provisions) Ordinance (Cap. 32, Laws of Hong Kong) or which</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do not result in the document being a “prospectus” within the meaning of the Companies (Winding Up and Miscellaneous Provisions) Ordinance (Cap. 32, Laws of Hong Kong); and that it has not and will not issue and has not and will not have in its possession for the purpose of issue any advertisement, invitation or document relating to the notes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Each underwriter has represented and agreed that the notes have not been and will not be registered under the Financial Instruments and Exchange Law of Japan (Law No. 25 of 1948, as amended), which we refer to as the Financial Instruments and Exchange Law, and has agreed not to offer or sell the notes, directly or indirectly, in Japan or to, or for the account or benefit of, any Japanese Person or to others for re-offering or resale, directly or indirectly, in Japan or to, or for the account or benefit of, any Japanese Person, except pursuant to an exemption from the registration requirements of, and otherwise in compliance with, the Financial Instruments and Exchange Law and any other applicable laws, regulations and ministerial guidelines of Japan. For the purposes of this paragraph “Japanese Person” means any person resident in Japan, including any corporation or other entity organized under the laws of Japan.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and will not be registered as a prospectus under the Securities and Futures Act, Chapter 289 of Singapore (the “SFA”) by the Monetary Authority of Singapore and the offer of the notes in Singapore is made primarily pursuant to the exemption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SFA (an “Institutional Investor”) pursuant to Section 274 of the SFA, (b) to an accredited investor as defined in Section 4A of the SFA (an “Accredited Investor”) or other relevant person as defined in Section 275(2) of the SFA (a “Relevant Person”) and pursuant to Section 275(1) of the SFA, or to any person pursuant to an offer referred to in Section 275 (1A) of the SFA, and in accordance with the conditions specified in Section 275 of the SFA, or (c) otherwise pursuant to, and in accordance with, the conditions of any other applicable exemption or provision of the SFA.</w:t>
      </w:r>
    </w:p>
    <w:p>
      <w:pPr>
        <w:spacing w:after="0" w:line="33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It is a condition of the offer that where the notes are subscribed for or acquired pursuant to an offer made in reliance on Section 275 of the SFA by a Relevant Person which is:</w:t>
      </w:r>
    </w:p>
    <w:p>
      <w:pPr>
        <w:spacing w:after="0" w:line="94" w:lineRule="exact"/>
        <w:rPr>
          <w:sz w:val="20"/>
          <w:szCs w:val="20"/>
          <w:color w:val="auto"/>
        </w:rPr>
      </w:pPr>
    </w:p>
    <w:p>
      <w:pPr>
        <w:ind w:left="1980" w:right="759" w:hanging="360"/>
        <w:spacing w:after="0" w:line="266"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57"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and the beneficiaries’ rights and interest (howsoever defined) in that trust shall not be transferred within six months after that corporation or that trust has subscribed for or acquired the notes except:</w:t>
      </w:r>
    </w:p>
    <w:p>
      <w:pPr>
        <w:spacing w:after="0" w:line="322" w:lineRule="exact"/>
        <w:rPr>
          <w:rFonts w:ascii="Times New Roman" w:cs="Times New Roman" w:eastAsia="Times New Roman" w:hAnsi="Times New Roman"/>
          <w:sz w:val="18"/>
          <w:szCs w:val="18"/>
          <w:color w:val="auto"/>
        </w:rPr>
      </w:pPr>
    </w:p>
    <w:p>
      <w:pPr>
        <w:ind w:left="2340" w:right="479" w:hanging="360"/>
        <w:spacing w:after="0" w:line="266" w:lineRule="auto"/>
        <w:tabs>
          <w:tab w:leader="none" w:pos="23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and Accredited Investor or other Relevant Person, or which arises from an offer referred to in Section 275(1A) of the SFA (in the case of that corporation) or Section 276(4)(i)(B) of the SFA (in the case of that trust);</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hanging="360"/>
        <w:spacing w:after="0"/>
        <w:tabs>
          <w:tab w:leader="none" w:pos="2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980" w:right="1179"/>
        <w:spacing w:after="0" w:line="282" w:lineRule="auto"/>
        <w:tabs>
          <w:tab w:leader="none" w:pos="23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pacing w:after="0" w:line="9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Notification under Section 309B(1)(c) of the SFA — 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w:t>
      </w:r>
    </w:p>
    <w:p>
      <w:pPr>
        <w:spacing w:after="0" w:line="3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securities acquired by such Korean QIBs in the primary market is limited to less than 20 percent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 year restriction on offering, delivering or selling of securities to a Korean resident other than a Korean QIB is expressly stated in the securities, the relevant underwriting agreement, subscription agreement, and the offering circular and (e) we and the underwriters shall individually or collectively keep the evidence of fulfillment of conditions (a) through (d) above after having taken necessary actions therefor.</w:t>
      </w:r>
    </w:p>
    <w:p>
      <w:pPr>
        <w:spacing w:after="0" w:line="3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document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The notes may not be offered for sale, nor may application for the sale or purchase or any notes be invited in Australia (including an</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75" w:lineRule="auto"/>
        <w:rPr>
          <w:sz w:val="20"/>
          <w:szCs w:val="20"/>
          <w:color w:val="auto"/>
        </w:rPr>
      </w:pPr>
      <w:r>
        <w:rPr>
          <w:rFonts w:ascii="Times New Roman" w:cs="Times New Roman" w:eastAsia="Times New Roman" w:hAnsi="Times New Roman"/>
          <w:sz w:val="18"/>
          <w:szCs w:val="18"/>
          <w:color w:val="auto"/>
        </w:rPr>
        <w:t>offer or invitation which is received by a person in Australia) and neither this document nor any other offering material or advertisement relating to the notes may be distributed or published in Australia unless, in each case:</w:t>
      </w:r>
    </w:p>
    <w:p>
      <w:pPr>
        <w:spacing w:after="0" w:line="322" w:lineRule="exact"/>
        <w:rPr>
          <w:sz w:val="20"/>
          <w:szCs w:val="20"/>
          <w:color w:val="auto"/>
        </w:rPr>
      </w:pPr>
    </w:p>
    <w:p>
      <w:pPr>
        <w:ind w:left="1980" w:right="459" w:hanging="360"/>
        <w:spacing w:after="0" w:line="258"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115" w:lineRule="exact"/>
        <w:rPr>
          <w:rFonts w:ascii="Times New Roman" w:cs="Times New Roman" w:eastAsia="Times New Roman" w:hAnsi="Times New Roman"/>
          <w:sz w:val="18"/>
          <w:szCs w:val="18"/>
          <w:color w:val="auto"/>
        </w:rPr>
      </w:pPr>
    </w:p>
    <w:p>
      <w:pPr>
        <w:ind w:left="1980" w:right="1039" w:hanging="360"/>
        <w:spacing w:after="0" w:line="266"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94" w:lineRule="exact"/>
        <w:rPr>
          <w:rFonts w:ascii="Times New Roman" w:cs="Times New Roman" w:eastAsia="Times New Roman" w:hAnsi="Times New Roman"/>
          <w:sz w:val="18"/>
          <w:szCs w:val="18"/>
          <w:color w:val="auto"/>
        </w:rPr>
      </w:pPr>
    </w:p>
    <w:p>
      <w:pPr>
        <w:ind w:left="1980" w:right="659" w:hanging="360"/>
        <w:spacing w:after="0" w:line="266"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invitation or distribution complies with all applicable Australian laws, regulations and directives (including, without limitation, the licensing requirements set out in Chapter 7 of the Corporations Act);</w:t>
      </w:r>
    </w:p>
    <w:p>
      <w:pPr>
        <w:spacing w:after="0" w:line="108"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or invitation does not constitute an offer or invitation to a person in Australia who is a “retail client” as defined for the purposes of Section 761G of the Corporations Act; and</w:t>
      </w:r>
    </w:p>
    <w:p>
      <w:pPr>
        <w:spacing w:after="0" w:line="94"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does not require any document to be lodged with ASIC or the Australian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by Akin Gump Strauss Hauer &amp; Feld LLP. Certain legal matters with respect to the notes offered hereby will be passed upon for the underwriters by Latham &amp; Watkins LLP, Houston, Texas.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2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Information incorporated by reference in this prospectus supplement regarding estimated quantities of proved reserves, future production and income attributable to certain leasehold and royalty interests is based upon estimates of such reserves, future production and income prepared by Ryder Scott Company, L.P. as of December 31, 2021, an independent petroleum engineering firm. This information is incorporated by reference in this prospectus supplement in reliance upon the authority of such firm as experts in these matters.</w:t>
      </w:r>
    </w:p>
    <w:p>
      <w:pPr>
        <w:spacing w:after="0" w:line="33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supplement regarding estimated quantities of proved reserves, future production and income attributable to certain royalty interests of Viper Energy Partners LP, a subsidiary of Diamondback Energy, Inc., is based upon estimates of such reserves, future production and income prepared by Ryder Scott Company, L.P. as of December 31, 2021, an independent petroleum engineering firm. This information is incorporated by reference in this prospectus supplement in reliance upon the authority of such firm as experts in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the documents listed below that we have filed with the SEC:</w:t>
      </w:r>
    </w:p>
    <w:p>
      <w:pPr>
        <w:spacing w:after="0" w:line="81" w:lineRule="exact"/>
        <w:rPr>
          <w:sz w:val="20"/>
          <w:szCs w:val="20"/>
          <w:color w:val="auto"/>
        </w:rPr>
      </w:pPr>
    </w:p>
    <w:p>
      <w:pPr>
        <w:ind w:left="1800" w:right="879" w:hanging="180"/>
        <w:spacing w:after="0" w:line="282" w:lineRule="auto"/>
        <w:tabs>
          <w:tab w:leader="none" w:pos="1800" w:val="left"/>
        </w:tabs>
        <w:numPr>
          <w:ilvl w:val="0"/>
          <w:numId w:val="39"/>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our Annual Report on Form 10-K for the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February 24,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459" w:hanging="180"/>
        <w:spacing w:after="0" w:line="266" w:lineRule="auto"/>
        <w:tabs>
          <w:tab w:leader="none" w:pos="1800" w:val="left"/>
        </w:tabs>
        <w:numPr>
          <w:ilvl w:val="0"/>
          <w:numId w:val="3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our Quarterly Reports on Form 10-Q for the quarterly periods ended March 31, 2022, June 30, 2022 </w:t>
      </w:r>
      <w:hyperlink r:id="rId94">
        <w:r>
          <w:rPr>
            <w:rFonts w:ascii="Times New Roman" w:cs="Times New Roman" w:eastAsia="Times New Roman" w:hAnsi="Times New Roman"/>
            <w:sz w:val="18"/>
            <w:szCs w:val="18"/>
            <w:color w:val="auto"/>
          </w:rPr>
          <w:t xml:space="preserve">and September 30, 2022, filed with the SEC on </w:t>
        </w:r>
        <w:r>
          <w:rPr>
            <w:rFonts w:ascii="Times New Roman" w:cs="Times New Roman" w:eastAsia="Times New Roman" w:hAnsi="Times New Roman"/>
            <w:sz w:val="18"/>
            <w:szCs w:val="18"/>
            <w:u w:val="single" w:color="auto"/>
            <w:color w:val="0000EE"/>
          </w:rPr>
          <w:t>May 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3,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8, 2022,</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respectively;</w:t>
        </w:r>
      </w:hyperlink>
    </w:p>
    <w:p>
      <w:pPr>
        <w:spacing w:after="0" w:line="67" w:lineRule="exact"/>
        <w:rPr>
          <w:rFonts w:ascii="Times New Roman" w:cs="Times New Roman" w:eastAsia="Times New Roman" w:hAnsi="Times New Roman"/>
          <w:sz w:val="18"/>
          <w:szCs w:val="18"/>
          <w:u w:val="single" w:color="auto"/>
          <w:color w:val="0000EE"/>
        </w:rPr>
      </w:pPr>
    </w:p>
    <w:p>
      <w:pPr>
        <w:jc w:val="both"/>
        <w:ind w:left="1800" w:right="519" w:hanging="180"/>
        <w:spacing w:after="0" w:line="266" w:lineRule="auto"/>
        <w:tabs>
          <w:tab w:leader="none" w:pos="1800" w:val="left"/>
        </w:tabs>
        <w:numPr>
          <w:ilvl w:val="0"/>
          <w:numId w:val="39"/>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color w:val="auto"/>
          </w:rPr>
          <w:t xml:space="preserve">the information specifically incorporated by reference into the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fiscal year ended December 31,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on Schedule 14A, filed on</w:t>
        </w:r>
      </w:hyperlink>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April 28, 2022;</w:t>
        </w:r>
      </w:hyperlink>
    </w:p>
    <w:p>
      <w:pPr>
        <w:spacing w:after="0" w:line="67" w:lineRule="exact"/>
        <w:rPr>
          <w:rFonts w:ascii="Times New Roman" w:cs="Times New Roman" w:eastAsia="Times New Roman" w:hAnsi="Times New Roman"/>
          <w:sz w:val="18"/>
          <w:szCs w:val="18"/>
          <w:u w:val="single" w:color="auto"/>
          <w:color w:val="0000EE"/>
        </w:rPr>
      </w:pPr>
    </w:p>
    <w:p>
      <w:pPr>
        <w:ind w:left="1800" w:right="499" w:hanging="180"/>
        <w:spacing w:after="0" w:line="261" w:lineRule="auto"/>
        <w:tabs>
          <w:tab w:leader="none" w:pos="1800" w:val="left"/>
        </w:tabs>
        <w:numPr>
          <w:ilvl w:val="0"/>
          <w:numId w:val="39"/>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24,</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May 16, 2022</w:t>
        </w:r>
      </w:hyperlink>
      <w:hyperlink r:id="rId9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8">
        <w:r>
          <w:rPr>
            <w:rFonts w:ascii="Times New Roman" w:cs="Times New Roman" w:eastAsia="Times New Roman" w:hAnsi="Times New Roman"/>
            <w:sz w:val="18"/>
            <w:szCs w:val="18"/>
            <w:u w:val="single" w:color="auto"/>
            <w:color w:val="0000EE"/>
          </w:rPr>
          <w:t>June 7, 2022</w:t>
        </w:r>
      </w:hyperlink>
      <w:hyperlink r:id="rId9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9">
        <w:r>
          <w:rPr>
            <w:rFonts w:ascii="Times New Roman" w:cs="Times New Roman" w:eastAsia="Times New Roman" w:hAnsi="Times New Roman"/>
            <w:sz w:val="18"/>
            <w:szCs w:val="18"/>
            <w:u w:val="single" w:color="auto"/>
            <w:color w:val="0000EE"/>
          </w:rPr>
          <w:t>June 14, 2022</w:t>
        </w:r>
      </w:hyperlink>
      <w:hyperlink r:id="rId9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0">
        <w:r>
          <w:rPr>
            <w:rFonts w:ascii="Times New Roman" w:cs="Times New Roman" w:eastAsia="Times New Roman" w:hAnsi="Times New Roman"/>
            <w:sz w:val="18"/>
            <w:szCs w:val="18"/>
            <w:u w:val="single" w:color="auto"/>
            <w:color w:val="0000EE"/>
          </w:rPr>
          <w:t xml:space="preserve">July 11, 2022 </w:t>
        </w:r>
      </w:hyperlink>
      <w:hyperlink r:id="rId96">
        <w:r>
          <w:rPr>
            <w:rFonts w:ascii="Times New Roman" w:cs="Times New Roman" w:eastAsia="Times New Roman" w:hAnsi="Times New Roman"/>
            <w:sz w:val="18"/>
            <w:szCs w:val="18"/>
            <w:color w:val="000000"/>
          </w:rPr>
          <w:t>(Item 5.02 only) ,</w:t>
        </w:r>
        <w:r>
          <w:rPr>
            <w:rFonts w:ascii="Times New Roman" w:cs="Times New Roman" w:eastAsia="Times New Roman" w:hAnsi="Times New Roman"/>
            <w:sz w:val="18"/>
            <w:szCs w:val="18"/>
            <w:color w:val="0000EE"/>
          </w:rPr>
          <w:t xml:space="preserve"> </w:t>
        </w:r>
      </w:hyperlink>
      <w:hyperlink r:id="rId101">
        <w:r>
          <w:rPr>
            <w:rFonts w:ascii="Times New Roman" w:cs="Times New Roman" w:eastAsia="Times New Roman" w:hAnsi="Times New Roman"/>
            <w:sz w:val="18"/>
            <w:szCs w:val="18"/>
            <w:u w:val="single" w:color="auto"/>
            <w:color w:val="0000EE"/>
          </w:rPr>
          <w:t>October 3, 2022</w:t>
        </w:r>
      </w:hyperlink>
      <w:hyperlink r:id="rId96">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102">
        <w:r>
          <w:rPr>
            <w:rFonts w:ascii="Times New Roman" w:cs="Times New Roman" w:eastAsia="Times New Roman" w:hAnsi="Times New Roman"/>
            <w:sz w:val="18"/>
            <w:szCs w:val="18"/>
            <w:u w:val="single" w:color="auto"/>
            <w:color w:val="0000EE"/>
          </w:rPr>
          <w:t>October 12,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3">
        <w:r>
          <w:rPr>
            <w:rFonts w:ascii="Times New Roman" w:cs="Times New Roman" w:eastAsia="Times New Roman" w:hAnsi="Times New Roman"/>
            <w:sz w:val="18"/>
            <w:szCs w:val="18"/>
            <w:u w:val="single" w:color="auto"/>
            <w:color w:val="0000EE"/>
          </w:rPr>
          <w:t>October 20,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4">
        <w:r>
          <w:rPr>
            <w:rFonts w:ascii="Times New Roman" w:cs="Times New Roman" w:eastAsia="Times New Roman" w:hAnsi="Times New Roman"/>
            <w:sz w:val="18"/>
            <w:szCs w:val="18"/>
            <w:u w:val="single" w:color="auto"/>
            <w:color w:val="0000EE"/>
          </w:rPr>
          <w:t>October 28,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5">
        <w:r>
          <w:rPr>
            <w:rFonts w:ascii="Times New Roman" w:cs="Times New Roman" w:eastAsia="Times New Roman" w:hAnsi="Times New Roman"/>
            <w:sz w:val="18"/>
            <w:szCs w:val="18"/>
            <w:u w:val="single" w:color="auto"/>
            <w:color w:val="0000EE"/>
          </w:rPr>
          <w:t xml:space="preserve">November 7, 2022 </w:t>
        </w:r>
      </w:hyperlink>
      <w:r>
        <w:rPr>
          <w:rFonts w:ascii="Times New Roman" w:cs="Times New Roman" w:eastAsia="Times New Roman" w:hAnsi="Times New Roman"/>
          <w:sz w:val="18"/>
          <w:szCs w:val="18"/>
          <w:color w:val="00000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1.02 only) and</w:t>
      </w:r>
      <w:r>
        <w:rPr>
          <w:rFonts w:ascii="Times New Roman" w:cs="Times New Roman" w:eastAsia="Times New Roman" w:hAnsi="Times New Roman"/>
          <w:sz w:val="18"/>
          <w:szCs w:val="18"/>
          <w:color w:val="0000EE"/>
        </w:rPr>
        <w:t xml:space="preserve"> </w:t>
      </w:r>
      <w:hyperlink r:id="rId106">
        <w:r>
          <w:rPr>
            <w:rFonts w:ascii="Times New Roman" w:cs="Times New Roman" w:eastAsia="Times New Roman" w:hAnsi="Times New Roman"/>
            <w:sz w:val="18"/>
            <w:szCs w:val="18"/>
            <w:u w:val="single" w:color="auto"/>
            <w:color w:val="0000EE"/>
          </w:rPr>
          <w:t>November 21,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71" w:lineRule="exact"/>
        <w:rPr>
          <w:rFonts w:ascii="Times New Roman" w:cs="Times New Roman" w:eastAsia="Times New Roman" w:hAnsi="Times New Roman"/>
          <w:sz w:val="18"/>
          <w:szCs w:val="18"/>
          <w:color w:val="0000EE"/>
        </w:rPr>
      </w:pPr>
    </w:p>
    <w:p>
      <w:pPr>
        <w:ind w:left="1800" w:right="499" w:hanging="180"/>
        <w:spacing w:after="0" w:line="282" w:lineRule="auto"/>
        <w:tabs>
          <w:tab w:leader="none" w:pos="1800" w:val="left"/>
        </w:tabs>
        <w:numPr>
          <w:ilvl w:val="0"/>
          <w:numId w:val="39"/>
        </w:numPr>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the description of our common stock contained in Exhibit 4.6 to our Registration Statement on Form</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S-8, File No. 333-257561, filed with the SEC on June 30, 2021.</w:t>
        </w:r>
      </w:hyperlink>
    </w:p>
    <w:p>
      <w:pPr>
        <w:spacing w:after="0" w:line="94" w:lineRule="exact"/>
        <w:rPr>
          <w:rFonts w:ascii="Times New Roman" w:cs="Times New Roman" w:eastAsia="Times New Roman" w:hAnsi="Times New Roman"/>
          <w:sz w:val="18"/>
          <w:szCs w:val="18"/>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addition, all documents filed by us with the SEC under Sections 13(a), 13(c), 14 or 15(d) of the Exchange Act (other than those furnished pursuant to Item 2.02 or Item 7.01 of Form 8-K, unless otherwise stated therein) after the date of this prospectus supplement and prior to the filing of a post-effective amendment that indicates that all securities offered hereby have been sold or that deregisters all securities remaining unsold, will be considered to be incorporated by reference into this prospectus supplement and to be a part of this prospectus supplement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supplement, unless otherwise indicated on such Form 8-K.</w:t>
      </w:r>
    </w:p>
    <w:p>
      <w:pPr>
        <w:spacing w:after="0" w:line="325" w:lineRule="exact"/>
        <w:rPr>
          <w:rFonts w:ascii="Times New Roman" w:cs="Times New Roman" w:eastAsia="Times New Roman" w:hAnsi="Times New Roman"/>
          <w:sz w:val="18"/>
          <w:szCs w:val="18"/>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documents incorporated by reference, including any exhibits to such documents. You should direct any requests for documents to Teresa L. Dick, Executive Vice President, Chief Accounting Officer and Assistant Secretary, Diamondback Energy, Inc., 515 Central Park Drive, Suite 100, Oklahoma City, Oklahoma 73105; telephone: (405) 463-6900.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5"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105410</wp:posOffset>
            </wp:positionV>
            <wp:extent cx="2743200" cy="10204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27432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Diamondback Energy, Inc.</w:t>
      </w:r>
    </w:p>
    <w:p>
      <w:pPr>
        <w:spacing w:after="0" w:line="16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191135</wp:posOffset>
            </wp:positionV>
            <wp:extent cx="12344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By this prospectus, we may offer and sell, from time to time in one or more offerings (i) one or more series of our debt securities and (ii) our common stock. Diamondback E&amp;P LLC and any of our other existing or future subsidiaries may jointly and severally, fully and unconditionally guarantee our payment obligations under any series of debt securities offered by this prospectus. Unless otherwise stated herein, we refer to our debt securities and the guarantees of our debt securities that may be offered pursuant to this prospectus collectively as the “debt securities.” Any debt securities may be convertible into or exchangeable for our common stock.</w:t>
      </w:r>
    </w:p>
    <w:p>
      <w:pPr>
        <w:spacing w:after="0" w:line="32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prospectus describes the general terms of the securities that may be offered by us by this prospectus and the general manner in which we may offer such securities. The specific terms of any securities we offer will be included in a supplement to this prospectus. The prospectus supplement will also describe the specific manner in which we will offer the securities. Any prospectus supplement may also add, update or change information contained in this prospectus. You should carefully read this prospectus, all documents incorporated by reference in this prospectus and any applicable prospectus supplement before you invest in our securities.</w:t>
      </w:r>
    </w:p>
    <w:p>
      <w:pPr>
        <w:spacing w:after="0" w:line="325"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“FANG.” Our principal executive offices are located at 500 West Texas, Suite 100, Midland, Texas 79701, and our telephone number is (432) 221-7400.</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securities involves risks. See “Risk Factors” beginning on page </w:t>
      </w:r>
      <w:r>
        <w:rPr>
          <w:rFonts w:ascii="Times New Roman" w:cs="Times New Roman" w:eastAsia="Times New Roman" w:hAnsi="Times New Roman"/>
          <w:sz w:val="18"/>
          <w:szCs w:val="18"/>
          <w:b w:val="1"/>
          <w:bCs w:val="1"/>
          <w:i w:val="1"/>
          <w:iCs w:val="1"/>
          <w:u w:val="single" w:color="auto"/>
          <w:color w:val="0000EE"/>
        </w:rPr>
        <w:t>2</w:t>
      </w:r>
      <w:r>
        <w:rPr>
          <w:rFonts w:ascii="Times New Roman" w:cs="Times New Roman" w:eastAsia="Times New Roman" w:hAnsi="Times New Roman"/>
          <w:sz w:val="18"/>
          <w:szCs w:val="18"/>
          <w:b w:val="1"/>
          <w:bCs w:val="1"/>
          <w:i w:val="1"/>
          <w:iCs w:val="1"/>
          <w:color w:val="auto"/>
        </w:rPr>
        <w:t>.</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may sell the debt securities to or through underwriters, dealers or agents. For additional information on the method of sale, you should refer to the section entitled “Plan of Distribution.” The supplements to this prospectus will specify the names of and arrangements with any underwriters, dealers or agents, as applicable.</w:t>
      </w:r>
    </w:p>
    <w:p>
      <w:pPr>
        <w:spacing w:after="0" w:line="319" w:lineRule="exact"/>
        <w:rPr>
          <w:sz w:val="20"/>
          <w:szCs w:val="20"/>
          <w:color w:val="auto"/>
        </w:rPr>
      </w:pPr>
    </w:p>
    <w:p>
      <w:pPr>
        <w:ind w:left="1260" w:right="6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607060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Subsidiary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Information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Incorporated by Reference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filed with the Securities and Exchange Commission, or the SEC, as a “well-known seasoned issuer” (as​ defined in Rule 405 of the Securities Act of 1933, as amended, or the Securities Act), using a “shelf” registration process. Under this shelf registration process, we may, over time, offer and sell any combination of the securities described in this prospectus in one or more offerings. This prospectus provides you with a general description of the securities we may offer. This prospectus does not contain all the information set forth in the registration statement as permitted by the rules of the SEC. Each time we offer securities covered by this prospectus, to the extent required, we will provide a supplement to this prospectus that will contain specific information about the terms of that offering. That prospectus supplement may also add, update or change information contained in this prospectus. Before purchasing any of our securities, you should carefully read both this prospectus and any applicable prospectus supplement, together with the additional information described in this prospectus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Incorporated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in any applicable prospectus supplement, including any information incorporated by reference. We have not authorized any other person to provide you with different information. If anyone provides you with different or inconsistent information, you should not rely on it. 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116"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When used in this prospectus or in any supplement to this prospectus, the terms “Diamondback Energy,” the “Company,” “we,” “our” and “us” refer to Diamondback Energy, Inc. and its consolidated subsidiaries, unless otherwise indicated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including documents incorporated by reference, contains forward-looking statements,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prospectus or documents incorporated by reference therein,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Factors that could cause our outcomes to differ materially include (but are not limited to) the following:</w:t>
      </w:r>
    </w:p>
    <w:p>
      <w:pPr>
        <w:spacing w:after="0" w:line="117" w:lineRule="exact"/>
        <w:rPr>
          <w:sz w:val="20"/>
          <w:szCs w:val="20"/>
          <w:color w:val="auto"/>
        </w:rPr>
      </w:pPr>
    </w:p>
    <w:p>
      <w:pPr>
        <w:ind w:left="1800" w:right="6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such as the COVID-19 pandemic, and any related company or government policies or actions;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53"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and inflation rates and concerns over a potential economic downturn or recession;</w:t>
      </w:r>
    </w:p>
    <w:p>
      <w:pPr>
        <w:spacing w:after="0" w:line="6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or governmental orders, rules or regulations that impose production limits;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employee retention and an increasingly competitive labor market due to a sustained labor shortage or increased turnover caused by the COVID-19 pandemic;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oilfield services;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(including those addressing air emissions, water management, or the impact of global climate change);</w:t>
      </w: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for our oil, natural gas, and natural gas liquids;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necessary approvals and permits;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our credit agreement and hedging contracts;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Item 1A of Part I of our Annual Report on Form 10-K incorporated by reference into this prospectus.</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 by reference in this prospectus. All forward-looking statements speak only as of the date of this prospectus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16"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Our principal executive offices are located at 500 West Texas, Suite 100, Midland, Texas, and our</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telephone number at that address is (432) 221-7400. Our website address is www.diamondbackenergy.com.</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Information contained on our website does not constitute part of this prospectus.</w:t>
      </w: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THE SUBSIDIARY GUARANTORS</w:t>
      </w:r>
    </w:p>
    <w:p>
      <w:pPr>
        <w:spacing w:after="0" w:line="148"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Diamondback E&amp;P LLC and any of our other existing or future subsidiaries specified in a post-effective amendment to the registration statement of which this prospectus forms a part may jointly and severally, fully and unconditionally guarantee our payment obligations under any series of debt securities offered by this prospectus and any applicable prospectus supplement. Financial information concerning our guarantor subsidiaries and non-guarantor subsidiaries, if any, is or will be included, as applicable, in our periodic reports filed pursuant to the Securities Exchange Act of 1934, as amended (the “Exchange Act”), to the extent required by the rules and regulations of the SEC.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52"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Investment in our securities involves certain risks. You should carefully consider the factors disclosed </w:t>
      </w:r>
      <w:hyperlink r:id="rId32">
        <w:r>
          <w:rPr>
            <w:rFonts w:ascii="Times New Roman" w:cs="Times New Roman" w:eastAsia="Times New Roman" w:hAnsi="Times New Roman"/>
            <w:sz w:val="18"/>
            <w:szCs w:val="18"/>
            <w:i w:val="1"/>
            <w:iCs w:val="1"/>
            <w:color w:val="auto"/>
          </w:rPr>
          <w:t xml:space="preserve">in Part I, Item 1A. Risk Factors in our </w:t>
        </w:r>
        <w:r>
          <w:rPr>
            <w:rFonts w:ascii="Times New Roman" w:cs="Times New Roman" w:eastAsia="Times New Roman" w:hAnsi="Times New Roman"/>
            <w:sz w:val="18"/>
            <w:szCs w:val="18"/>
            <w:i w:val="1"/>
            <w:iCs w:val="1"/>
            <w:u w:val="single" w:color="auto"/>
            <w:color w:val="0000EE"/>
          </w:rPr>
          <w:t>Annual Report on Form 10-K for the year ended December 31, 2021,</w:t>
        </w:r>
      </w:hyperlink>
      <w:r>
        <w:rPr>
          <w:rFonts w:ascii="Times New Roman" w:cs="Times New Roman" w:eastAsia="Times New Roman" w:hAnsi="Times New Roman"/>
          <w:sz w:val="18"/>
          <w:szCs w:val="18"/>
          <w:i w:val="1"/>
          <w:iCs w:val="1"/>
          <w:color w:val="auto"/>
        </w:rPr>
        <w:t xml:space="preserve"> </w:t>
      </w:r>
      <w:hyperlink r:id="rId32">
        <w:r>
          <w:rPr>
            <w:rFonts w:ascii="Times New Roman" w:cs="Times New Roman" w:eastAsia="Times New Roman" w:hAnsi="Times New Roman"/>
            <w:sz w:val="18"/>
            <w:szCs w:val="18"/>
            <w:i w:val="1"/>
            <w:iCs w:val="1"/>
            <w:u w:val="single" w:color="auto"/>
            <w:color w:val="0000EE"/>
          </w:rPr>
          <w:t>filed with the SEC on February 24, 2022</w:t>
        </w:r>
        <w:r>
          <w:rPr>
            <w:rFonts w:ascii="Times New Roman" w:cs="Times New Roman" w:eastAsia="Times New Roman" w:hAnsi="Times New Roman"/>
            <w:sz w:val="18"/>
            <w:szCs w:val="18"/>
            <w:i w:val="1"/>
            <w:iCs w:val="1"/>
            <w:color w:val="000000"/>
          </w:rPr>
          <w:t>, Part II, Item 1A. Risk Factors in our Quarterly Reports on Form</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 xml:space="preserve">10-Q for the quarterly periods ended March 31, 2022 and June 30, 2022, filed with the SEC on </w:t>
      </w:r>
      <w:hyperlink r:id="rId125">
        <w:r>
          <w:rPr>
            <w:rFonts w:ascii="Times New Roman" w:cs="Times New Roman" w:eastAsia="Times New Roman" w:hAnsi="Times New Roman"/>
            <w:sz w:val="18"/>
            <w:szCs w:val="18"/>
            <w:i w:val="1"/>
            <w:iCs w:val="1"/>
            <w:u w:val="single" w:color="auto"/>
            <w:color w:val="0000EE"/>
          </w:rPr>
          <w:t>May 5, 2022</w:t>
        </w:r>
      </w:hyperlink>
      <w:r>
        <w:rPr>
          <w:rFonts w:ascii="Times New Roman" w:cs="Times New Roman" w:eastAsia="Times New Roman" w:hAnsi="Times New Roman"/>
          <w:sz w:val="18"/>
          <w:szCs w:val="18"/>
          <w:i w:val="1"/>
          <w:iCs w:val="1"/>
          <w:color w:val="000000"/>
        </w:rPr>
        <w:t xml:space="preserve"> </w:t>
      </w:r>
      <w:hyperlink r:id="rId94">
        <w:r>
          <w:rPr>
            <w:rFonts w:ascii="Times New Roman" w:cs="Times New Roman" w:eastAsia="Times New Roman" w:hAnsi="Times New Roman"/>
            <w:sz w:val="18"/>
            <w:szCs w:val="18"/>
            <w:i w:val="1"/>
            <w:iCs w:val="1"/>
            <w:color w:val="000000"/>
          </w:rPr>
          <w:t xml:space="preserve">and </w:t>
        </w:r>
        <w:r>
          <w:rPr>
            <w:rFonts w:ascii="Times New Roman" w:cs="Times New Roman" w:eastAsia="Times New Roman" w:hAnsi="Times New Roman"/>
            <w:sz w:val="18"/>
            <w:szCs w:val="18"/>
            <w:i w:val="1"/>
            <w:iCs w:val="1"/>
            <w:u w:val="single" w:color="auto"/>
            <w:color w:val="0000EE"/>
          </w:rPr>
          <w:t>August 3, 2022</w:t>
        </w:r>
        <w:r>
          <w:rPr>
            <w:rFonts w:ascii="Times New Roman" w:cs="Times New Roman" w:eastAsia="Times New Roman" w:hAnsi="Times New Roman"/>
            <w:sz w:val="18"/>
            <w:szCs w:val="18"/>
            <w:i w:val="1"/>
            <w:iCs w:val="1"/>
            <w:color w:val="000000"/>
          </w:rPr>
          <w:t xml:space="preserve">, respectively, and other factors discussed in our </w:t>
        </w:r>
        <w:r>
          <w:rPr>
            <w:rFonts w:ascii="Times New Roman" w:cs="Times New Roman" w:eastAsia="Times New Roman" w:hAnsi="Times New Roman"/>
            <w:sz w:val="18"/>
            <w:szCs w:val="18"/>
            <w:i w:val="1"/>
            <w:iCs w:val="1"/>
            <w:u w:val="single" w:color="auto"/>
            <w:color w:val="0000EE"/>
          </w:rPr>
          <w:t>Quarterly Report on Form 10-Q for the</w:t>
        </w:r>
      </w:hyperlink>
      <w:r>
        <w:rPr>
          <w:rFonts w:ascii="Times New Roman" w:cs="Times New Roman" w:eastAsia="Times New Roman" w:hAnsi="Times New Roman"/>
          <w:sz w:val="18"/>
          <w:szCs w:val="18"/>
          <w:i w:val="1"/>
          <w:iCs w:val="1"/>
          <w:color w:val="000000"/>
        </w:rPr>
        <w:t xml:space="preserve"> </w:t>
      </w:r>
      <w:hyperlink r:id="rId94">
        <w:r>
          <w:rPr>
            <w:rFonts w:ascii="Times New Roman" w:cs="Times New Roman" w:eastAsia="Times New Roman" w:hAnsi="Times New Roman"/>
            <w:sz w:val="18"/>
            <w:szCs w:val="18"/>
            <w:i w:val="1"/>
            <w:iCs w:val="1"/>
            <w:u w:val="single" w:color="auto"/>
            <w:color w:val="0000EE"/>
          </w:rPr>
          <w:t>quarterly period ended September 30, 2022</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under the heading “Management’s Discussion and Analysis of</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Financial Condition and Results of Operations,” and in subsequent filings we made with the SEC prior to the filing of this prospectus, including those incorporated by reference into this prospectus, before investing in our securities. You should also consider similar information contained in any annual report on Form 10-K, quarterly reports on Form 10-Q, current reports on Form 8-K and other documents filed by us with the SEC after the date of this prospectus before deciding to invest in our securities. We will also include in any prospectus supplement a description of any other risk factors applicable to an offering contemplated by such prospectus supplement. Additional risks and uncertainties not known to us or that we view as immaterial may also impair our business operations. Any of these risks could materially and adversely affect our business, financial condition, results of operations and cash flows and could result in a loss of all or part of your investment. Please read “Cautionary Note Regarding Forward-Looking Statements.”</w:t>
      </w: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200" w:lineRule="exact"/>
        <w:rPr>
          <w:rFonts w:ascii="Times New Roman" w:cs="Times New Roman" w:eastAsia="Times New Roman" w:hAnsi="Times New Roman"/>
          <w:sz w:val="18"/>
          <w:szCs w:val="18"/>
          <w:i w:val="1"/>
          <w:iCs w:val="1"/>
          <w:color w:val="000000"/>
        </w:rPr>
      </w:pPr>
    </w:p>
    <w:p>
      <w:pPr>
        <w:spacing w:after="0" w:line="370" w:lineRule="exact"/>
        <w:rPr>
          <w:rFonts w:ascii="Times New Roman" w:cs="Times New Roman" w:eastAsia="Times New Roman" w:hAnsi="Times New Roman"/>
          <w:sz w:val="18"/>
          <w:szCs w:val="18"/>
          <w:i w:val="1"/>
          <w:iCs w:val="1"/>
          <w:color w:val="000000"/>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i w:val="1"/>
          <w:iCs w:val="1"/>
          <w:color w:val="000000"/>
        </w:rPr>
      </w:pPr>
      <w:r>
        <w:rPr>
          <w:rFonts w:ascii="Times New Roman" w:cs="Times New Roman" w:eastAsia="Times New Roman" w:hAnsi="Times New Roman"/>
          <w:sz w:val="18"/>
          <w:szCs w:val="18"/>
          <w:i w:val="1"/>
          <w:iCs w:val="1"/>
          <w:color w:val="000000"/>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we intend to use the net proceeds from our sale of the securities covered by this prospectus and any applicable prospectus supplement for general corporate purposes, including without limitation repaying or refinancing all or a portion of our existing short-term and long-term debt, making acquisitions of assets, businesses or securities, capital expenditures and for working capital. The precise amount and timing of the application of such proceeds will depend upon our funding requirements and the availability and cost of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debt securities that we may offer by this prospectus consist of notes, guarantees or other evidences of indebtedness of Diamondback Energy and one or more of its subsidiaries. We may issue debt securities in one or more series under an indenture (the “Base Indenture”), between us and Computershare Trust Company, National Association, as trustee (the “Trustee”), which Base Indenture may from time to time be supplemented or amended by one or more indentures supplemental thereto entered into pursuant to the applicable provisions of the Base Indenture, including, for all purposes of the Base Indenture and any such supplemental indenture, the provisions of the Trust Indenture Act of 1939, as amended (the “Trust Indenture Act”) that are deemed to be a part of and govern the Base Indenture and any such supplemental indenture (collectively with the Base Indenture, the “Indenture”). The term “Indenture” shall also include the terms of any particular series or specific debt securities within a series established as contemplated by the Indenture. A form of the Base Indenture, which has been filed as an exhibit to the registration statement of which this prospectus is a part, is incorporated herein by reference. Except as otherwise defined in this prospectus, capitalized terms used in this prospectus have the meanings given to them in the Base Indenture. For purposes of this Description of Debt Securities, references to “Diamondback Energy,” the “Company,” “we,” “our” and “us” refer only to Diamondback Energy, Inc. and not to its subsidiaries.</w:t>
      </w:r>
    </w:p>
    <w:p>
      <w:pPr>
        <w:spacing w:after="0" w:line="123"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provisions of the Base Indenture will generally be applicable to all of the debt securities. Selected provisions of the Base Indenture are described in this prospectus.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spacing w:after="0" w:line="73"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 debt security will be payable, if other than the registered holder thereof on the regular record date therefor;</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will be payable or the method of determination thereof and the amount of principal that will be payable;</w:t>
      </w:r>
    </w:p>
    <w:p>
      <w:pPr>
        <w:spacing w:after="0" w:line="53" w:lineRule="exact"/>
        <w:rPr>
          <w:rFonts w:ascii="Times New Roman" w:cs="Times New Roman" w:eastAsia="Times New Roman" w:hAnsi="Times New Roman"/>
          <w:sz w:val="18"/>
          <w:szCs w:val="18"/>
          <w:color w:val="auto"/>
        </w:rPr>
      </w:pPr>
    </w:p>
    <w:p>
      <w:pPr>
        <w:jc w:val="both"/>
        <w:ind w:left="1800" w:right="51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shall bear interest, if any, or contingent interest, if any, or the formula, method or provision pursuant to which such rate or rates are determined, and the date or dates from which such interest shall accrue or the method of determination thereof;</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 and the regular record dates for interest payment dates;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and interest on the debt securities will be payable and the manner in which any payment may be made;</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option, if any, to redeem or prepay the debt securities, in whole or in part, the period or periods within which, and the price or prices at which, such redemption or prepayment may occur, and the other terms and conditions of any such redemptions or prepayments;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whether pursuant to a sinking fund or otherwise, to redeem, purchase, repurchase, or offer to purchase or repurchase, the debt securities, in whole or in part, the period or periods within which, and the price or prices at which, such redemption, purchase or repurchase must occur, and the other terms and conditions of any such redemptions, purchases and repurchases;</w:t>
      </w:r>
    </w:p>
    <w:p>
      <w:pPr>
        <w:spacing w:after="0" w:line="58"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issuable, if other than denominations of $2,000 and any integral multiple of $1,000 in excess thereof;</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of or any premium or interest on any debt securities may be determined with reference to an index or pursuant to a formula, the manner in which such amounts shall be determined;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currencies, composite currency, composite currencies or currency units in which the principal of or any premium or interest on any debt securities shall be payable, or shall at the election of the Company or the holder thereof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be payable, and the manner of determining the equivalent thereof in the currency of the United States of America for any purpose, including for the purposes of making payment in the currency of the United States of America and determining the outstanding amount of debt securities, and, in the case of an election, the periods within which and the terms and conditions upon which such election is to be made and the amount so payable (or the manner in which such amount shall be determined);</w:t>
      </w:r>
    </w:p>
    <w:p>
      <w:pPr>
        <w:spacing w:after="0" w:line="69" w:lineRule="exact"/>
        <w:rPr>
          <w:sz w:val="20"/>
          <w:szCs w:val="20"/>
          <w:color w:val="auto"/>
        </w:rPr>
      </w:pPr>
    </w:p>
    <w:p>
      <w:pPr>
        <w:ind w:left="1800" w:right="53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thereof, the portion of the principal amount of any debt securities that will be payable upon acceleration of the maturity of the debt securities pursuant to an event of default;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maturity of any debt securities will not be determinable as of any one or more dates prior to the stated maturity, the amount that shall be deemed to be the principal amount of such debt securities as of any such date, including the principal amount thereof that shall be due and payable upon any maturity other than the stated maturity or that shall be deemed to be outstanding as of any date prior to the stated maturity (or, in any such case, the manner in which such amount deemed to be the principal amount shall be determined);</w:t>
      </w:r>
    </w:p>
    <w:p>
      <w:pPr>
        <w:spacing w:after="0" w:line="79"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the debt securities, in whole or any specified part, shall not be defeasible, and, if such Securities may be defeased, in whole or in part, any provisions to permit a pledge of obligations other than U.S. government obligations (or the establishment of other arrangements) to satisfy the requirements for defeasance of such debt securities and, if other than by a board resolution, the manner in which any election by the Company to defease such debt securities shall be evidenced;</w:t>
      </w:r>
    </w:p>
    <w:p>
      <w:pPr>
        <w:spacing w:after="0" w:line="75"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any debt securities shall be issuable in whole or in part in the form of one or more global securities and, in such case, the respective depositaries for such global securities, the form of any legend or legends that shall be borne by any such global security in lieu of that set forth in the Base Indenture, any addition to, elimination of or other change in the circumstances in which any such global security may be exchanged in whole or in part for debt securities registered, and any transfer of such global security in whole or in part may be registered, in the name or names of persons other than the depositary for such global security or a nominee thereof and any other provisions governing exchanges or transfers of any such global security;</w:t>
      </w:r>
    </w:p>
    <w:p>
      <w:pPr>
        <w:spacing w:after="0" w:line="8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elimination of or other change in the events of default that apply to any debt securities, any changes in the applicable notice or cure periods (which may be no period), and any change in the right of the Trustee or the requisite holders of such debt securities to declare the principal amount thereof due and payable, or the automatic acceleration of such principal amount;</w:t>
      </w:r>
    </w:p>
    <w:p>
      <w:pPr>
        <w:spacing w:after="0" w:line="71"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elimination of or other change in the covenants set forth in the Base Indenture that applies to any debt securities;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persons other than those specified in the Base Indenture shall have such benefits, rights, remedies and claims with respect to such debt securities, as and to the extent provided for such debt securities;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actions permitted or required to be taken by or on behalf of the holders of any debt securities, including any such change that permits or requires any or all such actions to be taken by or on behalf of the holders of any specific debt securities rather than or in addition to the holders of all debt securities;</w:t>
      </w:r>
    </w:p>
    <w:p>
      <w:pPr>
        <w:spacing w:after="0" w:line="71"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subordination of any debt securities to other obligations of the Company (including other debt securities issued under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 of principal of and premium, if any, and interest, if any, on any debt securities shall be without deduction for taxes, assessments or governmental charges paid by holders of such debt securities;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applicable, that any debt securities shall be issuable in whole or in part in the form of one or more global securities and, in such case, the depositary or depositaries for such global security or global securities and any circumstances other than those set forth in the Base Indenture in which any such global security may be transferred to, and registered and exchanged for debt securities registered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82" w:lineRule="auto"/>
        <w:rPr>
          <w:sz w:val="20"/>
          <w:szCs w:val="20"/>
          <w:color w:val="auto"/>
        </w:rPr>
      </w:pPr>
      <w:r>
        <w:rPr>
          <w:rFonts w:ascii="Times New Roman" w:cs="Times New Roman" w:eastAsia="Times New Roman" w:hAnsi="Times New Roman"/>
          <w:sz w:val="18"/>
          <w:szCs w:val="18"/>
          <w:color w:val="auto"/>
        </w:rPr>
        <w:t>in the name of, a person other than the depositary for such global security or a nominee thereof and in which any such transfer may be registered;</w:t>
      </w:r>
    </w:p>
    <w:p>
      <w:pPr>
        <w:spacing w:after="0" w:line="67" w:lineRule="exact"/>
        <w:rPr>
          <w:sz w:val="20"/>
          <w:szCs w:val="20"/>
          <w:color w:val="auto"/>
        </w:rPr>
      </w:pPr>
    </w:p>
    <w:p>
      <w:pPr>
        <w:ind w:left="1800" w:right="61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additional amounts on any debt securities held by a person who is not a U.S. person in respect of any tax, assessment or governmental charge withheld or deducted and, if so, whether the Company will have the option to redeem the debt securities rather than pay such additional amounts;</w:t>
      </w:r>
    </w:p>
    <w:p>
      <w:pPr>
        <w:spacing w:after="0" w:line="85"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 securities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85"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are to be convertible into or exchangeable for common stock or any other security or property, including, without limitation, securities of another person held by the Company or its affiliates, and, if so, the terms thereof;</w:t>
      </w:r>
    </w:p>
    <w:p>
      <w:pPr>
        <w:spacing w:after="0" w:line="94"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necessary to permit or facilitate the issuance, payment or conversion of any debt securities that may be converted into securities or other property other than debt securities of the same series and of like tenor, whether in addition to, or in lieu of, any payment of principal or other amount and whether at the option of the Company or otherwise;</w:t>
      </w:r>
    </w:p>
    <w:p>
      <w:pPr>
        <w:spacing w:after="0" w:line="85"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will be guaranteed, and, if so, the terms and conditions of such guarantees, if such terms differ from those set forth in the Base Indenture, and the names of, or the method of determination or identification of, the guarantors, and any deletions from, or modifications or additions to, the provisions of the Base Indenture in connection with the guarantees of the debt securities of the series;</w:t>
      </w:r>
    </w:p>
    <w:p>
      <w:pPr>
        <w:spacing w:after="0" w:line="8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the initial security registrar and any initial paying agent;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and any guarantees of the debt securities.</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may have the benefit of guarantees (each, a “guarantee”) by one or more of our existing or future subsidiaries, including Diamondback E&amp;P LLC, specified as a “guarantor” ​(each, a “guarantor”) in the prospectus supplement for the series of such debt securities. Unless otherwise expressly stated or the context otherwise requires, as used in this section, the term “guaranteed debt securities” means debt securities that, as described in the prospectus supplement relating thereto, are guaranteed by one or more guarantors pursuant to the applicable supplemental indenture.</w:t>
      </w:r>
    </w:p>
    <w:p>
      <w:pPr>
        <w:spacing w:after="0" w:line="106"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may issue debt securities at a discount from their stated principal amount. Federal income tax considerations and other special considerations applicable to any debt security issued with original issue discount (an “original issue discount security”) may be described in an applicable prospectus supplement.</w:t>
      </w:r>
    </w:p>
    <w:p>
      <w:pPr>
        <w:spacing w:after="0" w:line="10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the purchase price of any series of the debt securities is payable in a foreign currency or currency unit or if the principal of or any premium or interest on any series of the debt securities is payable in a foreign currency or currency unit, the restrictions, elections, general tax considerations, specific terms, and other information with respect to the debt securities and the applicable foreign currency or currency unit will be set forth in an applicable prospectus supplement.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indicated in an applicable prospectus supplement:</w:t>
      </w:r>
    </w:p>
    <w:p>
      <w:pPr>
        <w:spacing w:after="0" w:line="117" w:lineRule="exact"/>
        <w:rPr>
          <w:sz w:val="20"/>
          <w:szCs w:val="20"/>
          <w:color w:val="auto"/>
        </w:rPr>
      </w:pPr>
    </w:p>
    <w:p>
      <w:pPr>
        <w:ind w:left="1800" w:right="4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will be issued only in fully registered form (without coupons) in denominations of $2,000 and any integral multiples of $1,000 in excess thereof;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principal, premium, if any, and interest on the debt securities will be payable, and the exchange, conversion, and transfer of debt securities will be registrable, at our office or agency maintained for those purposes and at any other office or agency maintained for those purposes. No service charge will be made for any registration of transfer or exchange of the debt securities, but we may require payment of a sum sufficient to cover any tax or other governmental charge imposed in connection therewith.</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of Debt Securities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will issue each debt security only in registered form, without coupons, unless we specify otherwise in the applicable prospectus supplement. In addition, we will issue each debt security in global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book-entry) form only, unless we specify otherwise in the applicable prospectus supplement. Debt securities in book-entry form will be represented by a global security registered in the name of a depositary, which will be the holder of all the debt securities represented by the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References to “holders” in this description mean those who own debt securities registered in their own names, on the books that we or the Trustee maintain for this purpose, and not those who own beneficial interests in debt securities registered in street name or in debt securities issued in book-entry form through one or more depositaries.</w:t>
      </w:r>
    </w:p>
    <w:p>
      <w:pPr>
        <w:spacing w:after="0" w:line="12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following is a summary of the depositary arrangements applicable to debt securities issued in global form and for which The Depository Trust Company (“DTC”) acts as depositary.</w:t>
      </w:r>
    </w:p>
    <w:p>
      <w:pPr>
        <w:spacing w:after="0" w:line="95"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Each global debt security will be deposited with, or on behalf of, DTC, as depositary, or its nominee, and registered in the name of a nominee of DTC. Except under the limited circumstances described below, global debt securities are not exchangeable for definitive certificated debt securities.</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Ownership of beneficial interests in a global debt security is limited to institutions that have accounts with DTC or its nominee, or persons that may hold interests through those participants. In addition, ownership of beneficial interests by participants in a global debt security will be evidenced only by, and the transfer of that ownership interest will be effected only through, records maintained by DTC or its nominee for a global debt security.</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debt security by persons that hold those interests through participants will be evidenced only by, and the transfer of that ownership interest within that participant will be effected only through, records maintained by that participant. DTC has no knowledge of the actual beneficial owners of the debt securities. Beneficial owners will not receive written confirmation from DTC of their purchase, but beneficial owners are expected to receive written confirmations providing details of the transaction, as well as periodic statements of their holdings, from the participants through which the beneficial owners entered the transaction. The laws of some jurisdictions require that certain purchasers of securities take physical delivery of securities they purchase in definitive form. These laws may impair your ability to transfer beneficial interests in a global debt security.</w:t>
      </w:r>
    </w:p>
    <w:p>
      <w:pPr>
        <w:spacing w:after="0" w:line="107"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will make payment of principal of, and interest and premium, if any, on, debt securities represented by a global debt security registered in the name of or held by DTC or its nominee to DTC or its nominee, as the case may be, as the registered owner and holder of the global debt security representing those debt securities. DTC has advised us that upon receipt of any payment of principal of, or interest and premium, if any, on, a global debt security, DTC will immediately credit accounts of participants on its book-entry registration and transfer system with payments in amounts proportionate to their respective interests in the principal amount of that global debt security, as shown in the records of DTC. Payments by participants to owners of beneficial interests in a global debt security held through those participants will be governed by standing instructions and customary practices, and will be the sole responsibility of those participants, subject to any statutory or regulatory requirements that may be in effect from time to time.</w:t>
      </w:r>
    </w:p>
    <w:p>
      <w:pPr>
        <w:spacing w:after="0" w:line="127"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Neither we, any guarantor, any trustee nor any of our respective agents will be responsible for any aspect of the records of DTC, any nominee or any participant relating to, or payments made on account of, beneficial interests in a global debt security or for maintaining, supervising or reviewing any of the records of DTC, any nominee or any participant relating to such beneficial interests.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firstLine="360"/>
        <w:spacing w:after="0" w:line="275" w:lineRule="auto"/>
        <w:rPr>
          <w:sz w:val="20"/>
          <w:szCs w:val="20"/>
          <w:color w:val="auto"/>
        </w:rPr>
      </w:pPr>
      <w:r>
        <w:rPr>
          <w:rFonts w:ascii="Times New Roman" w:cs="Times New Roman" w:eastAsia="Times New Roman" w:hAnsi="Times New Roman"/>
          <w:sz w:val="18"/>
          <w:szCs w:val="18"/>
          <w:color w:val="auto"/>
        </w:rPr>
        <w:t>A global debt security is exchangeable for definitive certificated debt securities registered in the name of, and a transfer of a global debt security may be registered to, any person other than DTC or its nominee, only if:</w:t>
      </w:r>
    </w:p>
    <w:p>
      <w:pPr>
        <w:spacing w:after="0" w:line="282" w:lineRule="exact"/>
        <w:rPr>
          <w:sz w:val="20"/>
          <w:szCs w:val="20"/>
          <w:color w:val="auto"/>
        </w:rPr>
      </w:pPr>
    </w:p>
    <w:p>
      <w:pPr>
        <w:ind w:left="1800" w:right="61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unable or no longer qualified to continue as depositary for that global security or has ceased to be a registered clearing agency and we do not appoint another institution to act as depositary within 90 days; or</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notify the Trustee that we wish to exchange that global security in whole.</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Any global debt security that is exchangeable pursuant to the preceding sentence will be exchangeable in whole for definitive certificated debt securities in registered form, of like tenor and of an equal aggregate principal amount as the global debt security, in denominations specified in the applicable prospectus supplement, if other than $2,000 and multiples of $1,000. The definitive debt securities will be registered by the registrar in the name or names instructed by DTC. We expect that these instructions may be based upon directions received by DTC from its participants with respect to ownership of beneficial interests in the global debt security.</w:t>
      </w:r>
    </w:p>
    <w:p>
      <w:pPr>
        <w:spacing w:after="0" w:line="33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Except as provided above or in the applicable prospectus supplement, owners of the beneficial interests in a global debt security will not be entitled to receive physical delivery of debt securities in definitive certificated form and will not be considered the holders of debt securities for any purpose under the Indenture. Except as provided above, no global debt security shall be exchangeable except for another global debt security of like denomination and tenor to be registered in the name of DTC or its nominee. Accordingly, each person owning a beneficial interest in a global debt security must rely on the procedures of DTC and, if that person is not a participant, on the procedures of the participant through which that person owns its interest, to exercise any rights of a holder under the global debt security or the Indenture.</w:t>
      </w:r>
    </w:p>
    <w:p>
      <w:pPr>
        <w:spacing w:after="0" w:line="12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understand that, under existing industry practices, in the event that we request any action of holders, or an owner of a beneficial interest in a global debt security desires to take any action that a holder is entitled to take under the debt securities or the Indenture, DTC would authorize the participants holding the relevant beneficial interests to take that action. Additionally, those participants would authorize beneficial owners owning through those participants to take that action or would otherwise act upon the instructions of beneficial owners owning through them.</w:t>
      </w:r>
    </w:p>
    <w:p>
      <w:pPr>
        <w:spacing w:after="0" w:line="10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of its participants and to facilitate the clearance and settlement of transactions among its participants in securities through electronic book-entry changes in accounts of the participants. By doing so, DTC eliminates the need for physical movement of securities certificates. DTC’s participants include securities brokers and dealers, banks, trust companies, clearing corporations, and certain other organizations. DTC is owned by a number of its participants and by the New York Stock Exchange, Inc. and NYSE Amex Equities.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33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Investors may hold interests in the debt securities outside the U.S. through the Euroclear System (“Euroclear”) or Clearstream Banking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interests in customers’ securities accounts in the depositaries’ names on the books of DTC. All securities in Euroclear or Clearstream are held on a fungible basis without attribution of specific certificates to specific securities clearance accounts.</w:t>
      </w:r>
    </w:p>
    <w:p>
      <w:pPr>
        <w:spacing w:after="0" w:line="337"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Euroclear advises that it was created in 1968 to hold securities for participants of Euroclear (“Euroclear Participants”) and to clear and settle transactions between Euroclear Participants through simultaneous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electronic book-entry delivery against payment, thereby eliminating the need for physical movement of certificates and any risk from lack of simultaneous transfers of securities and cash.</w:t>
      </w:r>
    </w:p>
    <w:p>
      <w:pPr>
        <w:spacing w:after="0" w:line="8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Euroclear includes various other services, including securities lending and borrowing and interfaces with domestic markets in several countries. Euroclear is operated by the Euroclear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underwriters of debt securities offered by this prospectus. Indirect access to Euroclear is also available to other firms that clear through or maintain a custodial relationship with a Euroclear Participant, either directly or indirectly.</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the related Operating Procedures of the Euroclear System, and applicable Belgian law (collectively, the “Terms and Conditions”). The Terms and Conditions govern transfers of securities and cash within Euroclear, withdrawals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328"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0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agents, securities brokers and dealers, banks, trust companies, clearing corporations, and certain other organizations and may include underwriters of debt securities offered by this prospectus. Indirect access to Clearstream is also available to others, such as banks, brokers, dealers, and trust companies that clear through or maintain a custodial relationship with a Clearstream Participant either directly or indirectly.</w:t>
      </w:r>
    </w:p>
    <w:p>
      <w:pPr>
        <w:spacing w:after="0" w:line="10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have provided the descriptions herein of the operations and procedures of DTC, Euroclear and Clearstream solely as a matter of convenience. These operations and procedures are solely within the control of DTC, Euroclear and Clearstream and are subject to change by them from time to time. We believe that the sources from which the information in this section and elsewhere in this prospectus concerning DTC, Euroclear, Euroclear SA/NV, Euroclear Clearance Systems S.C., Euroclear’s system, Clearstream and Clearstream’s system has been obtained are reliable, but neither we, any underwriters nor the trustee takes any responsibility for the accuracy of the information.</w:t>
      </w:r>
    </w:p>
    <w:p>
      <w:pPr>
        <w:spacing w:after="0" w:line="121"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Initial settlement for the securities will be made in immediately available funds. Secondary market trading between DTC participants will occur in the ordinary way in accordance with DTC’s rules and will be settled in immediately available funds. Secondary market trading between Euroclear participants and Clearstream participants will occur in the ordinary way in accordance with the applicable rules and operating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procedures of Euroclear and Clearstream, as applicable, and will be settled using the procedures applicable to conventional eurobonds in immediately available funds.</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Euroclear or Clearstream participants, on the other, will be effected within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Euroclear participants and Clearstream participants may not deliver instructions directly to their respective U.S. depositaries.</w:t>
      </w:r>
    </w:p>
    <w:p>
      <w:pPr>
        <w:spacing w:after="0" w:line="34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Such credits, or any transactions in securities settled during such processing, will be reported to the relevant Euroclear participants or Clearstream participants on the following business day. Cash received in Euroclear or Clearstream as a result of sales of debt securities by or through a Euroclear participant or a Clearstream participant to a DTC participant will be received with value on the business day of settlement in DTC but will be available in the relevant Euroclear or Clearstream cash account only as of the business day following settlement in DTC.</w:t>
      </w:r>
    </w:p>
    <w:p>
      <w:pPr>
        <w:spacing w:after="0" w:line="111"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in order to facilitate transfers of securities among participants of DTC, Euroclear and Clearstream, they are under no obligation to perform or continue to perform such procedures and they may discontinue the procedures at any time.</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Maintenance of Office or Agency</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will be required to maintain an office or agency in each place of payment for each series of debt securities, for notice and demand purposes and for the purposes of presenting or surrendering debt securities for payment, registration of transfer, conversion or exchange.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Paying Agents, etc.</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we act as our own paying agent with respect to any series of debt securities, on or before each due date of the principal of or any premium or interest on any of the debt securities of that series, we will be required to segregate and hold in trust for the benefit of the persons entitled to such payment a sum sufficient to pay the amount due until such sum is paid to such persons or otherwise disposed of as provided in the Indenture and to notify the Trustee promptly of our action or failure to act. If we have one or more paying agents for any series of debt securities, on each due date of the principal of or any premium or interest on any debt securities of that series, we will be required to deposit with a paying agent a sum sufficient to pay the amount due and, unless the paying agent is the Trustee, to promptly notify the Trustee of our action or failure to act. Any money deposited with a paying agent or the Trustee for the payment of principal of or any premium or interest on any debt securities that remains unclaimed for two years after the principal or any premium or interest has become due and payable may be repaid to us, subject to applicable escheatment laws, and thereafter the holder of those debt securities may look only to us for payment thereof.</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Corporate Existence</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will be required to preserve and keep in full force and effect our corporate existence, charter rights, statutory rights, licenses and franchises, but the Company shall not be required to preserve any such right, license or franchise if the Company determines that such preservation is no longer desirable in the conduct of the business of the Company.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Compliance Certificate</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Company will be required to file annually with the Trustee a certificate signed by one of its officers, stating whether or not the officer knows of any default by the Company in compliance with all conditions and covenants under the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Sale, Conveyance, Transfer or Lease</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Company will not, in a single transaction or a series of related transactions, consolidate with or merge with or into, or sell, convey, transfer or lease all or substantially all of its properties and assets on a consolidated basis to, any person, unless:</w:t>
      </w:r>
    </w:p>
    <w:p>
      <w:pPr>
        <w:spacing w:after="0" w:line="95" w:lineRule="exact"/>
        <w:rPr>
          <w:sz w:val="20"/>
          <w:szCs w:val="20"/>
          <w:color w:val="auto"/>
        </w:rPr>
      </w:pPr>
    </w:p>
    <w:p>
      <w:pPr>
        <w:ind w:left="1980" w:right="419" w:hanging="360"/>
        <w:spacing w:after="0" w:line="266"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“Successor Company”) will be a corporation, limited liability company, partnership, trust or other entity organized and validly existing under the laws of the United States of America, any State thereof or the District of Columbia;</w:t>
      </w:r>
    </w:p>
    <w:p>
      <w:pPr>
        <w:spacing w:after="0" w:line="108" w:lineRule="exact"/>
        <w:rPr>
          <w:rFonts w:ascii="Times New Roman" w:cs="Times New Roman" w:eastAsia="Times New Roman" w:hAnsi="Times New Roman"/>
          <w:sz w:val="18"/>
          <w:szCs w:val="18"/>
          <w:color w:val="auto"/>
        </w:rPr>
      </w:pPr>
    </w:p>
    <w:p>
      <w:pPr>
        <w:ind w:left="1980" w:right="599" w:hanging="360"/>
        <w:spacing w:after="0" w:line="256"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(if not the Company) will expressly assume, by supplemental indenture, executed and delivered to the Trustee, in form reasonably satisfactory to the Trustee, the due and punctual payment of the principal of and any premium and interest on all the debt securities and the performance or observance of every covenant of the Indenture on the part of the Company to be performed or observed and, for each debt security that by its terms provides for conversion, shall have provided for the right to convert such debt security in accordance with its terms;</w:t>
      </w:r>
    </w:p>
    <w:p>
      <w:pPr>
        <w:spacing w:after="0" w:line="119" w:lineRule="exact"/>
        <w:rPr>
          <w:rFonts w:ascii="Times New Roman" w:cs="Times New Roman" w:eastAsia="Times New Roman" w:hAnsi="Times New Roman"/>
          <w:sz w:val="18"/>
          <w:szCs w:val="18"/>
          <w:color w:val="auto"/>
        </w:rPr>
      </w:pPr>
    </w:p>
    <w:p>
      <w:pPr>
        <w:ind w:left="1980" w:right="539" w:hanging="360"/>
        <w:spacing w:after="0" w:line="258"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02" w:lineRule="exact"/>
        <w:rPr>
          <w:rFonts w:ascii="Times New Roman" w:cs="Times New Roman" w:eastAsia="Times New Roman" w:hAnsi="Times New Roman"/>
          <w:sz w:val="18"/>
          <w:szCs w:val="18"/>
          <w:color w:val="auto"/>
        </w:rPr>
      </w:pPr>
    </w:p>
    <w:p>
      <w:pPr>
        <w:ind w:left="1980" w:right="559" w:hanging="360"/>
        <w:spacing w:after="0" w:line="258"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covenant and that all conditions precedent provided for in the Indenture relating to such transaction have been complied with.</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Upon any consolidation of the Company with, or merger of the Company with or into, or any sale, conveyance, transfer or lease of all or substantially all of the properties and assets of the Company on a consolidated basis to, any person, in each case in accordance with the foregoing covenant, the Successor Company shall succeed to, and be substituted for, and may exercise every right and power of, the Company under the Indenture with the same effect as if the Successor Company had been named as the Company in the Indenture, and thereafter the predecessor Company shall be relieved of all obligations and covenants under the Indenture and the debt securities, except in the case of a lease of all or substantially all of the properties and assets of the Company on a consolidated basis, in which case the predecessor Company shall not be released from the obligation to pay the principal of, any premium on, and interest on the debt securities.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 with respect to debt securities of any series:</w:t>
      </w:r>
    </w:p>
    <w:p>
      <w:pPr>
        <w:spacing w:after="0" w:line="144" w:lineRule="exact"/>
        <w:rPr>
          <w:sz w:val="20"/>
          <w:szCs w:val="20"/>
          <w:color w:val="auto"/>
        </w:rPr>
      </w:pPr>
    </w:p>
    <w:p>
      <w:pPr>
        <w:ind w:left="1980" w:right="659" w:hanging="360"/>
        <w:spacing w:after="0" w:line="282"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w:t>
      </w:r>
    </w:p>
    <w:p>
      <w:pPr>
        <w:spacing w:after="0" w:line="94"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any premium on any debt security of that series when due at its stated maturity or by declaration of acceleration, call for redemption or otherwise;</w:t>
      </w:r>
    </w:p>
    <w:p>
      <w:pPr>
        <w:spacing w:after="0" w:line="94" w:lineRule="exact"/>
        <w:rPr>
          <w:rFonts w:ascii="Times New Roman" w:cs="Times New Roman" w:eastAsia="Times New Roman" w:hAnsi="Times New Roman"/>
          <w:sz w:val="18"/>
          <w:szCs w:val="18"/>
          <w:color w:val="auto"/>
        </w:rPr>
      </w:pPr>
    </w:p>
    <w:p>
      <w:pPr>
        <w:ind w:left="1980" w:right="919" w:hanging="360"/>
        <w:spacing w:after="0" w:line="282"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any debt security of that series and continuance of such default for a period of 60 days;</w:t>
      </w: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hanging="360"/>
        <w:spacing w:after="0" w:line="254" w:lineRule="auto"/>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of the Company in the Indenture (other than a covenant a default in whose performance or whose breach is elsewhere in the events of default for such series specifically dealt with or which has expressly been included in the Indenture solely for the benefit of series of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debt securities of that series a written notice specifying such default or breach and requiring it to be remedied and stating that such notice is a “Notice of Default” under the Indenture;</w:t>
      </w:r>
    </w:p>
    <w:p>
      <w:pPr>
        <w:spacing w:after="0" w:line="34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of bankruptcy, insolvency, or reorganization involving the Company;</w:t>
      </w:r>
    </w:p>
    <w:p>
      <w:pPr>
        <w:spacing w:after="0" w:line="144"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the debt securities of that series ceases to be in full force and effect (except as contemplated by the terms of the Indenture) or is declared null and void in a judicial proceeding or the guarantor denies or disaffirms its obligations under the Indenture or its guarantee, in each case unless the guarantee has been released pursuant to the terms of the Indenture; and</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w:t>
      </w:r>
    </w:p>
    <w:p>
      <w:pPr>
        <w:spacing w:after="0" w:line="14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Trustee is required to give to the holders of the debt securities of that series notice of all defaults known to it within 90 days of the occurrence thereof, except that other than in the case of a default of the character contemplated in clause (1), (2), or (3) above, the Trustee may withhold notice if and so long as it in good faith determines that the withholding of notice is in the interests of the holders of the debt securities of that series.</w:t>
      </w:r>
    </w:p>
    <w:p>
      <w:pPr>
        <w:spacing w:after="0" w:line="32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an event of default described in clause (5) above occurs, the principal of, premium, if any, and accrued interest on the debt securities of that series will become immediately due and payable automatically without any declaration or other action on the part of the Trustee or any holder of the debt securities of that series. If any other event of default with respect to debt securities of any series occurs and is continuing, either the Trustee or the holders of not less than 25% in principal amount of the outstanding debt securities of that series may declare the principal amount of all debt securities of that series to be due and payable immediately. However, at any time after a declaration of acceleration with respect to debt securities of any series has been made, but before a judgment or decree based on such acceleration has been obtained, the holders of a majority in principal amount of the outstanding debt securities of that series may, under specified circumstances, rescind and annul such acceleration. See “— Amendments and Waivers” below.</w:t>
      </w:r>
    </w:p>
    <w:p>
      <w:pPr>
        <w:spacing w:after="0" w:line="11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Subject to the duty of the Trustee to act with the requisite standard of care during an event of default, the Trustee will be under no obligation to exercise any of the rights or powers under the Indenture at the request or direction of any holders of debt securities of any series unless such holders have offered to the Trustee security or indemnity reasonably satisfactory to it against the costs, expenses and liabilities that might be incurred by it in compliance with such request or direction.</w:t>
      </w:r>
    </w:p>
    <w:p>
      <w:pPr>
        <w:spacing w:after="0" w:line="11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to enforce the right to receive payment of principal, premium, if any, or interest when due, no holder may institute any proceeding with respect to the Indenture unless:</w:t>
      </w:r>
    </w:p>
    <w:p>
      <w:pPr>
        <w:spacing w:after="0" w:line="95" w:lineRule="exact"/>
        <w:rPr>
          <w:sz w:val="20"/>
          <w:szCs w:val="20"/>
          <w:color w:val="auto"/>
        </w:rPr>
      </w:pPr>
    </w:p>
    <w:p>
      <w:pPr>
        <w:ind w:left="1980" w:right="63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of a continuing event of default with respect to the debt securities of that series;</w:t>
      </w:r>
    </w:p>
    <w:p>
      <w:pPr>
        <w:spacing w:after="0" w:line="80"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not less than 25% in principal amount of the outstanding debt securities of such series have requested in writing that the Trustee institute proceedings in respect of such event of default;</w:t>
      </w:r>
    </w:p>
    <w:p>
      <w:pPr>
        <w:spacing w:after="0" w:line="94"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security or indemnity reasonably satisfactory to it against any costs, expenses and liabilities to be incurred in compliance with such request;</w:t>
      </w:r>
    </w:p>
    <w:p>
      <w:pPr>
        <w:spacing w:after="0" w:line="80" w:lineRule="exact"/>
        <w:rPr>
          <w:rFonts w:ascii="Times New Roman" w:cs="Times New Roman" w:eastAsia="Times New Roman" w:hAnsi="Times New Roman"/>
          <w:sz w:val="18"/>
          <w:szCs w:val="18"/>
          <w:color w:val="auto"/>
        </w:rPr>
      </w:pPr>
    </w:p>
    <w:p>
      <w:pPr>
        <w:ind w:left="1980" w:right="95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any such proceeding within 60 days after the receipt of the request and the offer of security or indemnity;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outstanding debt securities of such series have not given the Trustee a direction that is inconsistent with such request within such 60 day period.</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Subject to certain restrictions, the holders of a majority in principal amount of the outstanding debt</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securities of any series are given the right to direct the time, method and place of conducting any proceeding for any remedy available to the Trustee or of exercising any trust or power conferred on the Trustee. The Indenture provides that in the event an event of default has occurred and is continuing, the Trustee will be required in the exercise of its rights and powers to use the degree of care and skill that a prudent person would exercise or use under the circumstances in the conduct of its own affairs. The Trustee, however, may refuse to follow any direction that conflicts with law or the Indenture or that the Trustee determines in good faith would involve the Trustee in personal liability. Prior to taking any action under the Indenture, the Trustee will be entitled to security or indemnification reasonably satisfactory to it against the costs, expenses and liabilities that might be incurred by it in compliance with any request or direction.</w:t>
      </w:r>
    </w:p>
    <w:p>
      <w:pPr>
        <w:spacing w:after="0" w:line="117"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Any additional events of default with respect to any series of debt securities, and any variations from the foregoing events of default applicable to any series of debt securities, will be described in an applicable prospectus supplement.</w:t>
      </w:r>
    </w:p>
    <w:p>
      <w:pPr>
        <w:spacing w:after="0" w:line="10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issued under the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4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Subject to certain exceptions, the Indenture and the debt securities may be amended or supplemented with the consent of the holders of a majority in principal amount (including consents obtained in connection with a purchase of, or tender offer or exchange offer for, debt securities) of all debt securities at the time outstanding to be affected (considered together as one class for this purpose and such debt securities to be affected potentially being debt securities of the same or different series and, with respect to any series, potentially comprising fewer than all the debt securities of such series), or, if a waiver of compliance with provisions affects the debt securities of more than one series of debt securities, by the holders of a majority in principal amount of all outstanding debt securities affected by the waiver, with the debt securities of all the affected series voting together as one class for this purpose and such debt securities to be affected potentially being debt securities of the same or different series and, with respect to any series, potentially comprising fewer than all the debt securities of such series (including without limitation, consents obtained in connection with a purchase of, or tender offer or exchange offer for, such series). Subject to certain exceptions, any past default may be waived with the consent of the holders of a majority in principal amount of the debt securities of such series then outstanding or, if the waiver of a past default affects the debt securities of more than one series of debt securities, by the holders of a majority in principal amount (including consents obtained in connection with a purchase of, or tender offer or exchange offer for, debt securities) of all debt securities at the time outstanding to be affected (considered together as one class for this purpose and such debt securities to be affected potentially being debt securities of the same or different series and, with respect to any series, potentially comprising fewer than all the debt securities of such series). In addition, without the consent of any holder, the Company and the Trustee may amend or supplement the Indenture or any series of debt securities for certain purposes as set forth in the Indenture.</w:t>
      </w:r>
    </w:p>
    <w:p>
      <w:pPr>
        <w:spacing w:after="0" w:line="13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However, without the consent of each holder of an outstanding debt security affected, no amendment, supplement or waiver may, among other things:</w:t>
      </w:r>
    </w:p>
    <w:p>
      <w:pPr>
        <w:spacing w:after="0" w:line="54" w:lineRule="exact"/>
        <w:rPr>
          <w:sz w:val="20"/>
          <w:szCs w:val="20"/>
          <w:color w:val="auto"/>
        </w:rPr>
      </w:pPr>
    </w:p>
    <w:p>
      <w:pPr>
        <w:ind w:left="1800" w:right="539" w:hanging="180"/>
        <w:spacing w:after="0" w:line="254"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thereof or the rate of interest thereon or any premium payable upon the redemption thereof, or reduce the amount of the principal of a debt security issued with original issue discount or any other debt security that would be due and payable upon a declaration of acceleration of the maturity thereof, or permit the Company to redeem any debt security if the Company would not otherwise be permitted to do so, or change any place of payment where, or the coin or currency in which, any debt security or any premium or interest thereon is payable, or impair the right to institute suit for the enforcement of any such payment on or after the stated maturity thereof (or, in the case of redemption, on or after the redemption date);</w:t>
      </w:r>
    </w:p>
    <w:p>
      <w:pPr>
        <w:spacing w:after="0" w:line="80"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 security provides that the holder may require the Company to repurchase or convert such debt security, impair such holder’s right to require repurchase or conversion of such debt security on the terms provided therein;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5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one or more series (considered separately or together as one class, as applicable, and whether comprising the same or different series or less than all the debt securities of a series), the consent of whose holders is required for any such amendment or supplement, or the consent of whose holders is required for any waiver (of compliance with certain provisions of the Indenture or certain defaults hereunder and their consequences);</w:t>
      </w:r>
    </w:p>
    <w:p>
      <w:pPr>
        <w:spacing w:after="0" w:line="79"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 security is guaranteed, release any guarantor of a debt security from any of its obligations under its guarantee thereof, except in accordance with the terms of the Indenture;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modify any of the provisions of relating to the percentage of holders who must consent to an amendment, supplement or waiver, except to increase any such percentage or to provide that certain other provisions of the Indenture cannot be modified or waived without the consent of the holder of each outstanding debt security affected thereby.</w:t>
      </w:r>
    </w:p>
    <w:p>
      <w:pPr>
        <w:spacing w:after="0" w:line="99"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supplemental indenture. It is sufficient if such consent approves the substance of the proposed supplemental indenture. A consent to any amendment, supplement or waiver under the Indenture by any holder of debt securities given in connection with a purchase of, or tender or exchange offer for, such holder’s debt securities will not be rendered invalid by such purchase, tender or exchange.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62"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The Company at any time may terminate all of its and any guarantor’s obligations under the debt securities of any series and the Indenture (“legal defeasance”), except for certain obligations, including those respecting the defeasance trust and obligations to register the transfer or exchange of such debt securities, to replace mutilated, destroyed, lost or stolen debt securities and to maintain a registrar and paying agent in respect of the debt securities of any series.</w:t>
      </w:r>
    </w:p>
    <w:p>
      <w:pPr>
        <w:spacing w:after="0" w:line="11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Company may at any time terminate its and any guarantor’s obligations to comply with certain covenants described above under “— Certain Covenants” and certain covenants of any outstanding series of debt securities that may be contained in any applicable prospectus supplement, and may omit to comply with such covenants without creating an event of default (“covenant defeasance”). The Company may exercise its legal defeasance option notwithstanding its prior exercise of its covenant defeasance option.</w:t>
      </w:r>
    </w:p>
    <w:p>
      <w:pPr>
        <w:spacing w:after="0" w:line="10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order to exercise either defeasance option, the Company must irrevocably deposit in trust (the “defeasance trust”) with the Trustee money or U.S. government obligations for the payment of principal, premium, if any, and interest on the debt securities of any series to redemption or maturity, as the case may be, and must comply with certain other conditions, including, without limitation, delivery to the Trustee of an opinion of counsel (subject to customary assumptions and exclusions) to the effect that holders of such series will not recognize gain or loss for Federal income tax purposes as a result of such deposit and defeasance and will be subject to Federal income tax on the same amount and in the same manner and at the same times as would have been the case if such deposit and defeasance had not occurred. In the case of legal defeasance only, such opinion of counsel must be based on a ruling of the Internal Revenue Service or other change in applicable Federal income tax law.</w:t>
      </w:r>
    </w:p>
    <w:p>
      <w:pPr>
        <w:spacing w:after="0" w:line="127"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Upon the effectiveness of a legal defeasance or covenant defeasance with respect to any series of guaranteed debt securities, each guarantor of the debt securities of such series shall be automatically and unconditionally released and discharged from all of its obligations under its guarantee of the debt securities of such series and all of its other obligations under the applicable indenture in respect of the debt securities of that series, without any action by us, any guarantor or the trustee, and without the consent of the holders of any debt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Indenture shall upon request of the Company cease to be of further effect with respect to the debt securities of any series and any guarantees of such debt securities (except as to any surviving rights of conversion, registration of transfer or exchange of any such debt security expressly provided for in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Indenture or in the terms of such debt security), and the Trustee, at the expense of the Company, shall execute proper instruments acknowledging satisfaction and discharge of the Indenture with respect to such debt securities, when:</w:t>
      </w:r>
    </w:p>
    <w:p>
      <w:pPr>
        <w:spacing w:after="0" w:line="102" w:lineRule="exact"/>
        <w:rPr>
          <w:sz w:val="20"/>
          <w:szCs w:val="20"/>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44" w:lineRule="exact"/>
        <w:rPr>
          <w:rFonts w:ascii="Times New Roman" w:cs="Times New Roman" w:eastAsia="Times New Roman" w:hAnsi="Times New Roman"/>
          <w:sz w:val="18"/>
          <w:szCs w:val="18"/>
          <w:color w:val="auto"/>
        </w:rPr>
      </w:pPr>
    </w:p>
    <w:p>
      <w:pPr>
        <w:ind w:left="2340" w:right="579" w:hanging="360"/>
        <w:spacing w:after="0" w:line="261" w:lineRule="auto"/>
        <w:tabs>
          <w:tab w:leader="none" w:pos="23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debt securities theretofore authenticated and delivered (other than (i) debt securities that have been destroyed, lost or wrongfully taken and that have been replaced or paid and</w:t>
      </w:r>
    </w:p>
    <w:p>
      <w:pPr>
        <w:ind w:left="2340" w:right="519"/>
        <w:spacing w:after="0" w:line="255" w:lineRule="auto"/>
        <w:tabs>
          <w:tab w:leader="none" w:pos="2623"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for the payment of which money has theretofore been deposited in trust or segregated and held in trust by the Company and thereafter repaid to the Company or discharged from such trust) have been delivered to the Trustee for cancellation; or</w:t>
      </w:r>
    </w:p>
    <w:p>
      <w:pPr>
        <w:spacing w:after="0" w:line="11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debt securities not theretofore delivered to the Trustee for cancellation</w:t>
      </w:r>
    </w:p>
    <w:p>
      <w:pPr>
        <w:spacing w:after="0" w:line="14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57"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44" w:lineRule="exact"/>
        <w:rPr>
          <w:rFonts w:ascii="Times New Roman" w:cs="Times New Roman" w:eastAsia="Times New Roman" w:hAnsi="Times New Roman"/>
          <w:sz w:val="18"/>
          <w:szCs w:val="18"/>
          <w:color w:val="auto"/>
        </w:rPr>
      </w:pPr>
    </w:p>
    <w:p>
      <w:pPr>
        <w:ind w:left="2700" w:right="699" w:hanging="360"/>
        <w:spacing w:after="0" w:line="266" w:lineRule="auto"/>
        <w:tabs>
          <w:tab w:leader="none" w:pos="270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08" w:lineRule="exact"/>
        <w:rPr>
          <w:sz w:val="20"/>
          <w:szCs w:val="20"/>
          <w:color w:val="auto"/>
        </w:rPr>
      </w:pPr>
    </w:p>
    <w:p>
      <w:pPr>
        <w:ind w:left="1980" w:right="459"/>
        <w:spacing w:after="0" w:line="247" w:lineRule="auto"/>
        <w:rPr>
          <w:sz w:val="20"/>
          <w:szCs w:val="20"/>
          <w:color w:val="auto"/>
        </w:rPr>
      </w:pPr>
      <w:r>
        <w:rPr>
          <w:rFonts w:ascii="Times New Roman" w:cs="Times New Roman" w:eastAsia="Times New Roman" w:hAnsi="Times New Roman"/>
          <w:sz w:val="18"/>
          <w:szCs w:val="18"/>
          <w:color w:val="auto"/>
        </w:rPr>
        <w:t>and the Company or a guarantor in the case of (i), (ii) or (iii) of subsection (B) above, has deposited or caused to be deposited with the Trustee as trust funds in trust for such purpose money in an amount sufficient to pay and discharge the entire indebtedness on such debt securities not theretofore delivered to the Trustee for cancellation, for principal and any premium and interest to the date of such deposit (in the case of debt securities that have become due and payable) or to the stated maturity or redemption date, as the case may be;</w:t>
      </w:r>
    </w:p>
    <w:p>
      <w:pPr>
        <w:spacing w:after="0" w:line="112" w:lineRule="exact"/>
        <w:rPr>
          <w:sz w:val="20"/>
          <w:szCs w:val="20"/>
          <w:color w:val="auto"/>
        </w:rPr>
      </w:pPr>
    </w:p>
    <w:p>
      <w:pPr>
        <w:ind w:left="1980" w:right="759" w:hanging="360"/>
        <w:spacing w:after="0" w:line="266" w:lineRule="auto"/>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(if any) have paid or caused to be paid all other sums payable under the Indenture by the Company and the guarantors (if any) with respect to such debt securities;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1" w:lineRule="auto"/>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(which opinion of counsel may be subject to customary assumptions and exclusions), each stating that all conditions precedent in the Indenture relating to the satisfaction and discharge of the Indenture with respect to such debt securities have been satisfied.</w:t>
      </w:r>
    </w:p>
    <w:p>
      <w:pPr>
        <w:spacing w:after="0" w:line="11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Notwithstanding the satisfaction and discharge of the Indenture with respect to debt securities of any series, certain obligations of the Company and the Trustee listed in the Indenture shall survive such satisfaction and discharge.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14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will pay interest, principal and other amounts payable with respect to the debt securities of any series to the holders of record of those debt securities as of the record dates and otherwise in the manner specified below or in the prospectus supplement for that series.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will make payments on a global debt security in accordance with the applicable policies of the depositary as in effect from time to time. Under those policies, we will pay directly to the depositary, or its nominee, and not to any indirect owners who own beneficial interests in the global debt security. An indirect owner’s right to receive those payments will be governed by the rules and practices of the depositary and its participants.</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make payments on a debt security in non-global, registered form as follows. We will pay interest that is due on an interest payment date by check mailed on the interest payment date to the holder at his or her address shown on the Trustee’s records as of the close of business on the regular record date. We will make all other payments by check at the paying agent described below, against surrender of the debt security. All payments by check will be made in next-day funds (i.e., funds that become available on the day after the check is cashed).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Alternatively, if a non-global debt security has a face amount of at least $1,000,000 and the holder asks us to do so, we will pay any amount that becomes due on the debt security by wire transfer of immediately available funds to an account at a bank in the United States of America, on the due date. To request wire payment, the holder must give the paying agent appropriate wire transfer instructions at least five business days before the requested wire payment is due. In the case of any interest payment due on an interest payment date, the instructions must be given by the person or entity who is the holder on the relevant regular record date. In the case of any other payment, payment will be made only after the debt security is surrendered to the paying agent. Any wire instructions, once properly given, will remain in effect unless and until new instructions are given in the manner described above.</w:t>
      </w:r>
    </w:p>
    <w:p>
      <w:pPr>
        <w:spacing w:after="0" w:line="11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Book-entry and other indirect owners should consult their banks or brokers for information on how they will receive payments on their debt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48"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color w:val="auto"/>
        </w:rPr>
        <w:t>No past, present or future director, officer, employee, manager, member, partner, incorporator or stockholder of the Company or any guarantor, as such, will have any liability for any obligations of the Company or any guarantor under the debt securities or the Indenture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The Indenture is, and the debt securities (and any guarantees thereof) will be, governed by, and construed in accordance with, the laws of the State of New York.</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The debt securities of any series may be guaranteed by one or more of our existing or future subsidiaries, including Diamondback E&amp;P LLC. However, the Indenture will not require that any of our existing or future subsidiaries be a guarantor of any series of debt securities and will permit the guarantors of any series of guaranteed debt securities to differ from the guarantors of any other series of guaranteed debt securities. If we issue a series of guaranteed debt securities, the identity of the specific guarantors of the debt securities of that series will be identified in the applicable prospectus supplement.</w:t>
      </w:r>
    </w:p>
    <w:p>
      <w:pPr>
        <w:spacing w:after="0" w:line="11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we issue a series of guaranteed debt securities, a description of some of the terms of guarantees of those debt securities will be set forth in the applicable prospectus supplement. Unless otherwise provided in the prospectus supplement relating to a series of guaranteed debt securities, each guarantor of the debt securities of such series will fully and unconditionally guarantee the due and punctual payment of the principal of, and premium, if any, and interest on each debt security of such series, all in accordance with the terms of such debt securities and the Indenture.</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unless otherwise provided in the prospectus supplement relating to a series of guaranteed debt securities, the Indenture will contain provisions intended to limit the obligations of each guarantor under its guarantees and the Indenture to the maximum amount as will, after giving effect to all other contingent and fixed liabilities of such guarantor, result in the obligations of such guarantor under such guarantees and such indenture not constituting a fraudulent conveyance or fraudulent transfer under applicable law. However, there can be no assurance that, notwithstanding such limitation, a court would not determine that a guarantee constituted a fraudulent conveyance or fraudulent transfer under applicable law. If that were to occur, the court could void the applicable guarantor’s obligations under that guarantee, subordinate that guarantee to other debt and other liabilities of that guarantor or take other action detrimental to holders of the debt securities of the applicable series, including directing the holders to return any payments received from the applicable guarantor.</w:t>
      </w:r>
    </w:p>
    <w:p>
      <w:pPr>
        <w:spacing w:after="0" w:line="11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prospectus supplement relating to a series of guaranteed debt securities, the Indenture will (i) provide that each guarantor will be released and discharged automatically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and unconditionally from all its obligations under the Indenture and its guarantee with respect to a series of debt securities, and will cease to be a guarantor with respect to such debt securities, without any further action required on the part of the Trustee or any holder, (a) in the case of a guarantor that is a subsidiary of the Company, in the event the guarantor is sold or disposed of (whether by merger, consolidation, the sale of a sufficient amount of its (or an intermediate holding company’s) capital stock so that it no longer constitutes a “subsidiary” of ours or the sale of all or substantially all of its properties and assets on a consolidated basis (other than by lease)), and whether or not the guarantor is the surviving entity in such transaction, to a person that is not (and does not thereupon become) the Company or a subsidiary of the Company, (b) in connection with any covenant defeasance, legal defeasance or satisfaction and discharge of the debt securities of that series, or (c) if no Event of Default has occurred and is then continuing, upon the liquidation or dissolution of the guarantor and (ii) permit us to cause the guarantee of any guarantor of such debt securities to be released at any time if we satisfy such conditions, if any, as are specified in the prospectus supplement for such debt securities.</w:t>
      </w:r>
    </w:p>
    <w:p>
      <w:pPr>
        <w:spacing w:after="0" w:line="33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series of guaranteed debt securities will specify other terms of the applicable guarantees.</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the applicable prospectus supplement relating to a series of our debt securities provides that those debt securities will have the benefit of a guarantee by any or all of our existing or future subsidiaries, unless otherwise provided in the applicable prospectus supplement, each such guarantee will be the unsubordinated and unsecured obligation of the applicable guarantor and will rank equally in right of payment with all of the unsecured and unsubordinated indebtedness of such guarantor.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Except as provided above under the heading “Payments” or as otherwise provided in the applicable prospectus supplement,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which is initially the corporate trust office of the Trustee in Minneapolis, Minnesota.</w:t>
      </w:r>
    </w:p>
    <w:p>
      <w:pPr>
        <w:spacing w:after="0" w:line="338"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there is an event of default with respect to any series of debt securities, the Trustee must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common stock, certificate of incorporation and our bylaws are summaries thereof and are qualified by reference to our certificate of incorporation and our bylaws, copies of which have been filed with the SEC.</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authorized capital stock consists of 400,000,000 shares of common stock, par value $0.01 per share, and 10,000,000 shares of preferred stock, par value $0.01 per share.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12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 As of November 16, 2022, there were 175,998,577 shares of our common stock outstanding.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to issue up to 10,000,000 shares of preferred stock in one or more series. The board of directors may fix for each series:</w:t>
      </w:r>
    </w:p>
    <w:p>
      <w:pPr>
        <w:spacing w:after="0" w:line="54"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serial designation and number of shares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and the right, if any, to elect a director or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office of any directors the holders of preferred shares are entitled to elect;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if any;</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redemption, and the amount of and provisions regarding any sinking fund for the purchase or redemption thereof;</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preferences and the amounts payable on dissolution or liquidation;</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shares of the series may or shall be converted into any other series or class of stock or debt of the corporation;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or provisions which the board of directors is legally authorized to fix or alter.</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Transactions and Corporate Opportunities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limitations of applicable law, our certificate of incorporation, among other things:</w:t>
      </w:r>
    </w:p>
    <w:p>
      <w:pPr>
        <w:spacing w:after="0" w:line="117" w:lineRule="exact"/>
        <w:rPr>
          <w:sz w:val="20"/>
          <w:szCs w:val="20"/>
          <w:color w:val="auto"/>
        </w:rPr>
      </w:pPr>
    </w:p>
    <w:p>
      <w:pPr>
        <w:ind w:left="1800" w:right="4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certain of our stockholders, officers and directors, including our non-employee directors, to conduct business that competes with us and to make investments in any kind of property in which we may make investments;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if certain of our officers or directors, including our non-employee directors, becomes aware of a potential business opportunity, transaction or other matter (other than one expressly offered to that director or officer solely in his or her capacity as our director or officer), that director or officer will have no duty to communicate or offer that opportunity to us, and will be permitted to communicate or offer that opportunity to any other entity or individual and that director or officer will not be deemed to have (i) acted in a manner inconsistent with his or her fiduciary duty to us or our stockholders regarding the opportunity or (ii) acted in bad faith or in a manner inconsistent with our best interests.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and Our Bylaws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107"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r>
        <w:rPr>
          <w:rFonts w:ascii="Times New Roman" w:cs="Times New Roman" w:eastAsia="Times New Roman" w:hAnsi="Times New Roman"/>
          <w:sz w:val="18"/>
          <w:szCs w:val="18"/>
          <w:color w:val="auto"/>
        </w:rPr>
        <w:t>. The ability to authorize and issue undesignated preferred stock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 our board of directors to render more 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15" w:lineRule="exact"/>
        <w:rPr>
          <w:sz w:val="20"/>
          <w:szCs w:val="20"/>
          <w:color w:val="auto"/>
        </w:rPr>
      </w:pPr>
    </w:p>
    <w:p>
      <w:pPr>
        <w:ind w:left="1260" w:right="75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 meetings</w:t>
      </w:r>
      <w:r>
        <w:rPr>
          <w:rFonts w:ascii="Times New Roman" w:cs="Times New Roman" w:eastAsia="Times New Roman" w:hAnsi="Times New Roman"/>
          <w:sz w:val="18"/>
          <w:szCs w:val="18"/>
          <w:color w:val="auto"/>
        </w:rPr>
        <w:t>. Our certificate of incorporation and bylaws provide that a special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may be called only by the Chairman of the Board, the Chief Executive Officer or by a resolution adopted by a majority of our board of directors, assuming there are no vacancies.</w:t>
      </w:r>
    </w:p>
    <w:p>
      <w:pPr>
        <w:spacing w:after="0" w:line="103" w:lineRule="exact"/>
        <w:rPr>
          <w:sz w:val="20"/>
          <w:szCs w:val="20"/>
          <w:color w:val="auto"/>
        </w:rPr>
      </w:pPr>
    </w:p>
    <w:p>
      <w:pPr>
        <w:ind w:left="1260" w:right="4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and the nomination of candidates for election as directors, other than nominations made by or at the direction of the board of directors, as well as procedures and other requirements addressing the universal proxy rules adopted by the SEC.</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r>
        <w:rPr>
          <w:rFonts w:ascii="Times New Roman" w:cs="Times New Roman" w:eastAsia="Times New Roman" w:hAnsi="Times New Roman"/>
          <w:sz w:val="18"/>
          <w:szCs w:val="18"/>
          <w:color w:val="auto"/>
        </w:rPr>
        <w:t>. Our certificate of incorporation provides that, except as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be provided with respect to the 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then outstanding shares of capital stock entitled to vote generally in</w:t>
      </w:r>
    </w:p>
    <w:p>
      <w:pPr>
        <w:spacing w:after="0" w:line="4"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the election of directors, voting together as a single class, makes it difficult for stockholders to initiate or effect an action by written consent that is opposed by our board.</w:t>
      </w:r>
    </w:p>
    <w:p>
      <w:pPr>
        <w:spacing w:after="0" w:line="91" w:lineRule="exact"/>
        <w:rPr>
          <w:sz w:val="20"/>
          <w:szCs w:val="20"/>
          <w:color w:val="auto"/>
        </w:rPr>
      </w:pPr>
    </w:p>
    <w:p>
      <w:pPr>
        <w:ind w:left="1260" w:right="419" w:firstLine="36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Amendment of the bylaws</w:t>
      </w:r>
      <w:r>
        <w:rPr>
          <w:rFonts w:ascii="Times New Roman" w:cs="Times New Roman" w:eastAsia="Times New Roman" w:hAnsi="Times New Roman"/>
          <w:sz w:val="18"/>
          <w:szCs w:val="18"/>
          <w:color w:val="auto"/>
        </w:rPr>
        <w:t>. Under Delaware law, the power to adopt, amend or repeal bylaws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conferred upon the stockholders. A corporation may, 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then outstanding shares of capital stock entitled to vote generally in the election of directors, voting together as a single class.</w:t>
      </w:r>
    </w:p>
    <w:p>
      <w:pPr>
        <w:spacing w:after="0" w:line="115" w:lineRule="exact"/>
        <w:rPr>
          <w:sz w:val="20"/>
          <w:szCs w:val="20"/>
          <w:color w:val="auto"/>
        </w:rPr>
      </w:pPr>
    </w:p>
    <w:p>
      <w:pPr>
        <w:ind w:left="1260" w:right="679" w:firstLine="3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Removal of Director</w:t>
      </w:r>
      <w:r>
        <w:rPr>
          <w:rFonts w:ascii="Times New Roman" w:cs="Times New Roman" w:eastAsia="Times New Roman" w:hAnsi="Times New Roman"/>
          <w:sz w:val="18"/>
          <w:szCs w:val="18"/>
          <w:color w:val="auto"/>
        </w:rPr>
        <w:t>. Our certificate of incorporation provide that members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only be removed by the affirmative vote of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then</w:t>
      </w:r>
    </w:p>
    <w:p>
      <w:pPr>
        <w:spacing w:after="0" w:line="2" w:lineRule="exact"/>
        <w:rPr>
          <w:sz w:val="20"/>
          <w:szCs w:val="20"/>
          <w:color w:val="auto"/>
        </w:rPr>
      </w:pPr>
    </w:p>
    <w:p>
      <w:pPr>
        <w:jc w:val="both"/>
        <w:ind w:left="1260" w:right="459"/>
        <w:spacing w:after="0" w:line="243" w:lineRule="auto"/>
        <w:rPr>
          <w:sz w:val="20"/>
          <w:szCs w:val="20"/>
          <w:color w:val="auto"/>
        </w:rPr>
      </w:pPr>
      <w:r>
        <w:rPr>
          <w:rFonts w:ascii="Times New Roman" w:cs="Times New Roman" w:eastAsia="Times New Roman" w:hAnsi="Times New Roman"/>
          <w:sz w:val="18"/>
          <w:szCs w:val="18"/>
          <w:color w:val="auto"/>
        </w:rPr>
        <w:t>outstanding shares of capital stock entitled to vote generally in the election of directors, voting together as a single class.</w:t>
      </w:r>
    </w:p>
    <w:p>
      <w:pPr>
        <w:spacing w:after="0" w:line="110" w:lineRule="exact"/>
        <w:rPr>
          <w:sz w:val="20"/>
          <w:szCs w:val="20"/>
          <w:color w:val="auto"/>
        </w:rPr>
      </w:pPr>
    </w:p>
    <w:p>
      <w:pPr>
        <w:jc w:val="both"/>
        <w:ind w:left="1260" w:right="439" w:firstLine="360"/>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w:t>
      </w:r>
      <w:r>
        <w:rPr>
          <w:rFonts w:ascii="Times New Roman" w:cs="Times New Roman" w:eastAsia="Times New Roman" w:hAnsi="Times New Roman"/>
          <w:sz w:val="18"/>
          <w:szCs w:val="18"/>
          <w:color w:val="auto"/>
        </w:rPr>
        <w:t>. Our certificate of incorporation provides that, in addition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 other vote that may be required by law or any preferred stock designation,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then outstanding shares of capital stock entitled to vote</w:t>
      </w:r>
    </w:p>
    <w:p>
      <w:pPr>
        <w:spacing w:after="0" w:line="3"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color w:val="auto"/>
        </w:rPr>
        <w:t>generally in the election of directors, voting together as a single class, is required to amend, alter or repeal, or adopt any provision as part of our certificate of incorporation inconsistent with the provisions of our certificate of incorporation dealing with distributions on our common stock, related party transactions, our board of directors, our bylaws, meetings of our stockholders or amendment of our certificate of incorporation.</w:t>
      </w:r>
    </w:p>
    <w:p>
      <w:pPr>
        <w:spacing w:after="0" w:line="32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 However, our board of directors does not intend or view the proposed increase in authorized common stock as an anti- takeover measure and did not propose the increase in response to any attempt or plan to obtain control of the company.</w:t>
      </w:r>
    </w:p>
    <w:p>
      <w:pPr>
        <w:spacing w:after="0" w:line="32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the sole and exclusive forum for:</w:t>
      </w:r>
    </w:p>
    <w:p>
      <w:pPr>
        <w:spacing w:after="0" w:line="1" w:lineRule="exact"/>
        <w:rPr>
          <w:sz w:val="20"/>
          <w:szCs w:val="20"/>
          <w:color w:val="auto"/>
        </w:rPr>
      </w:pPr>
    </w:p>
    <w:p>
      <w:pPr>
        <w:ind w:left="1260" w:right="459"/>
        <w:spacing w:after="0" w:line="241" w:lineRule="auto"/>
        <w:tabs>
          <w:tab w:leader="none" w:pos="14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or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court of law could rule that the choice of forum provision contained in our certificate of incorporation is inapplicable or unenforceable if it is challenged in a proceeding or otherwise.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“FANG.”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Computershare Trust Company, National Association is the transfer agent and registrar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sell the securities in and outside the United States (1) through underwriters or dealers,</w:t>
      </w:r>
    </w:p>
    <w:p>
      <w:pPr>
        <w:spacing w:after="0" w:line="16" w:lineRule="exact"/>
        <w:rPr>
          <w:sz w:val="20"/>
          <w:szCs w:val="20"/>
          <w:color w:val="auto"/>
        </w:rPr>
      </w:pPr>
    </w:p>
    <w:p>
      <w:pPr>
        <w:ind w:left="1260" w:right="559"/>
        <w:spacing w:after="0" w:line="258" w:lineRule="auto"/>
        <w:tabs>
          <w:tab w:leader="none" w:pos="15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(3) through agents or (4) a combination of any of these methods. The prospectus supplement will set forth the following information:</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to be issued by 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we will receive from the sale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we use underwriters in the sale of the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securities if they purchase any of them. The underwriters may sell securities to or through dealers, and the dealers may receive compensation in the form of discounts, concessions or commissions from the underwriters and/or commissions from the purchasers for whom they may act as agent. The underwriters may change from time to time the public offering price and any discounts, concessions or commissions allowed or reallowed or paid to dealers.</w:t>
      </w:r>
    </w:p>
    <w:p>
      <w:pPr>
        <w:spacing w:after="0" w:line="333"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 dealers for the offered securities sold for their account may be reclaimed by the syndicate if the offered securities are repurchased by the syndicate in stabilizing or covering transactions. These activities may stabilize, maintain or otherwise affect the market price of the securities, which may be higher than the price that might otherwise prevail in the open market. If commenced, these activities may be discontinued at any time.</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If we use dealers in the sale of securities, we may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these securities. We will include in the prospectus supplement the names of the dealers and the terms of the transaction.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In that event, no underwriters or agents would be involved. We may also sell the securities through agents we designate from time to time. In addition, we may offer securities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through at-the-market transactions. In the prospectus supplement, we will name any agent involved in the offer or sale of the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11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62"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If we so indicate in the prospectus supplement, we may authorize agents, underwriters or dealers to solicit offers from selected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We may have agreements with firms, agents, dealers and underwriters to indemnify them against civil liabilities, including liabilities under the Securities Act, or to contribute with respect to payments that the firms, agents, dealers or underwriters may be required to make. Such firms, agents, dealers and underwriters may be customers of, engage in transactions with or perform services for us in the ordinary course of their businesses.</w:t>
      </w:r>
    </w:p>
    <w:p>
      <w:pPr>
        <w:spacing w:after="0" w:line="33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series of securities will be a new issue, and other than our common stock, which is listed The NASDAQ Global Select Market, will have no established trading market. We may elect to list any series of securities on an exchange, but we are not obligated to do so. It is possible that one or more underwriters may make a market in a series of securities. However, they will not be obligated to do so and may discontinue market making at any time without notice. We cannot assure you that a liquid trading market for any of our securities will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covering the securities offered by this prospectus. This prospectus does not contain all of the information that you can find in that registration statement and its exhibits. Certain items are omitted from this prospectus in accordance with the rules and regulations of the SEC. For further information with respect to us and the securities offered by this prospectus, reference is made to the registration statement and the exhibits filed with the registration statement. Statements contained in this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The SEC maintains an Internet site that contains reports, proxy and information statements and other information regarding registrants that file electronically with the SEC. The address of the site is http://www.sec.gov. The registration statement, including all exhibits thereto and amendments thereof, has been filed electronically with the SEC.</w:t>
      </w:r>
    </w:p>
    <w:p>
      <w:pPr>
        <w:spacing w:after="0" w:line="33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You can also find our SEC filings on our website at www.diamondbackenergy.com. The information contained on our website or any other website is not incorporated by reference into this prospectus and does not constitute a part of this prospectus.</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provide in other documents filed by us with the SEC. The information incorporated by reference is an important part of this prospectus and any prospectus supplement. Any statement contained in a document that is incorporated by reference in this prospectus is automatically updated and superseded if information contained in this prospectus and any prospectus supplement, or information that we later file with the SEC, modifies and replaces this information. We incorporate by reference the following documents that we have filed with the SEC (except as indicated below with respect to Item 2.02 or Item 7.01 of Form 8-K):</w:t>
      </w:r>
    </w:p>
    <w:p>
      <w:pPr>
        <w:spacing w:after="0" w:line="81" w:lineRule="exact"/>
        <w:rPr>
          <w:sz w:val="20"/>
          <w:szCs w:val="20"/>
          <w:color w:val="auto"/>
        </w:rPr>
      </w:pPr>
    </w:p>
    <w:p>
      <w:pPr>
        <w:ind w:left="1800" w:right="879" w:hanging="180"/>
        <w:spacing w:after="0" w:line="282" w:lineRule="auto"/>
        <w:tabs>
          <w:tab w:leader="none" w:pos="1800" w:val="left"/>
        </w:tabs>
        <w:numPr>
          <w:ilvl w:val="0"/>
          <w:numId w:val="60"/>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our Annual Report on Form 10-K for the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February 24, 2022;</w:t>
        </w:r>
      </w:hyperlink>
    </w:p>
    <w:p>
      <w:pPr>
        <w:spacing w:after="0" w:line="67" w:lineRule="exact"/>
        <w:rPr>
          <w:rFonts w:ascii="Times New Roman" w:cs="Times New Roman" w:eastAsia="Times New Roman" w:hAnsi="Times New Roman"/>
          <w:sz w:val="18"/>
          <w:szCs w:val="18"/>
          <w:u w:val="single" w:color="auto"/>
          <w:color w:val="0000EE"/>
        </w:rPr>
      </w:pPr>
    </w:p>
    <w:p>
      <w:pPr>
        <w:ind w:left="1800" w:right="539" w:hanging="180"/>
        <w:spacing w:after="0" w:line="266" w:lineRule="auto"/>
        <w:tabs>
          <w:tab w:leader="none" w:pos="1800" w:val="left"/>
        </w:tabs>
        <w:numPr>
          <w:ilvl w:val="0"/>
          <w:numId w:val="60"/>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color w:val="auto"/>
          </w:rPr>
          <w:t xml:space="preserve">the 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fiscal year ended December 31,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on Schedule 14A, filed</w:t>
        </w:r>
      </w:hyperlink>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with the SEC on April 28, 2022;</w:t>
        </w:r>
      </w:hyperlink>
    </w:p>
    <w:p>
      <w:pPr>
        <w:spacing w:after="0" w:line="67" w:lineRule="exact"/>
        <w:rPr>
          <w:rFonts w:ascii="Times New Roman" w:cs="Times New Roman" w:eastAsia="Times New Roman" w:hAnsi="Times New Roman"/>
          <w:sz w:val="18"/>
          <w:szCs w:val="18"/>
          <w:u w:val="single" w:color="auto"/>
          <w:color w:val="0000EE"/>
        </w:rPr>
      </w:pPr>
    </w:p>
    <w:p>
      <w:pPr>
        <w:ind w:left="1800" w:right="459" w:hanging="180"/>
        <w:spacing w:after="0" w:line="26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2022, June 30, 2022 and September 30, 2022, filed with the SEC on </w:t>
      </w:r>
      <w:hyperlink r:id="rId125">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EE"/>
          </w:rPr>
          <w:t>August 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4">
        <w:r>
          <w:rPr>
            <w:rFonts w:ascii="Times New Roman" w:cs="Times New Roman" w:eastAsia="Times New Roman" w:hAnsi="Times New Roman"/>
            <w:sz w:val="18"/>
            <w:szCs w:val="18"/>
            <w:u w:val="single" w:color="auto"/>
            <w:color w:val="0000EE"/>
          </w:rPr>
          <w:t>November 8, 2022</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60"/>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24,</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14,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(except for Item 7.01),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3,</w:t>
        </w:r>
      </w:hyperlink>
      <w:r>
        <w:rPr>
          <w:rFonts w:ascii="Times New Roman" w:cs="Times New Roman" w:eastAsia="Times New Roman" w:hAnsi="Times New Roman"/>
          <w:sz w:val="18"/>
          <w:szCs w:val="18"/>
          <w:color w:val="0000EE"/>
        </w:rPr>
        <w:t xml:space="preserve"> </w:t>
      </w:r>
      <w:hyperlink r:id="rId101">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2">
        <w:r>
          <w:rPr>
            <w:rFonts w:ascii="Times New Roman" w:cs="Times New Roman" w:eastAsia="Times New Roman" w:hAnsi="Times New Roman"/>
            <w:sz w:val="18"/>
            <w:szCs w:val="18"/>
            <w:u w:val="single" w:color="auto"/>
            <w:color w:val="0000EE"/>
          </w:rPr>
          <w:t>October 12, 2022</w:t>
        </w:r>
      </w:hyperlink>
      <w:hyperlink r:id="rId10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3">
        <w:r>
          <w:rPr>
            <w:rFonts w:ascii="Times New Roman" w:cs="Times New Roman" w:eastAsia="Times New Roman" w:hAnsi="Times New Roman"/>
            <w:sz w:val="18"/>
            <w:szCs w:val="18"/>
            <w:u w:val="single" w:color="auto"/>
            <w:color w:val="0000EE"/>
          </w:rPr>
          <w:t>October 20, 2022</w:t>
        </w:r>
      </w:hyperlink>
      <w:hyperlink r:id="rId10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4">
        <w:r>
          <w:rPr>
            <w:rFonts w:ascii="Times New Roman" w:cs="Times New Roman" w:eastAsia="Times New Roman" w:hAnsi="Times New Roman"/>
            <w:sz w:val="18"/>
            <w:szCs w:val="18"/>
            <w:u w:val="single" w:color="auto"/>
            <w:color w:val="0000EE"/>
          </w:rPr>
          <w:t xml:space="preserve">October 28, 2022 </w:t>
        </w:r>
      </w:hyperlink>
      <w:hyperlink r:id="rId10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5">
        <w:r>
          <w:rPr>
            <w:rFonts w:ascii="Times New Roman" w:cs="Times New Roman" w:eastAsia="Times New Roman" w:hAnsi="Times New Roman"/>
            <w:sz w:val="18"/>
            <w:szCs w:val="18"/>
            <w:u w:val="single" w:color="auto"/>
            <w:color w:val="0000EE"/>
          </w:rPr>
          <w:t xml:space="preserve">November 7, 2022 </w:t>
        </w:r>
      </w:hyperlink>
      <w:hyperlink r:id="rId101">
        <w:r>
          <w:rPr>
            <w:rFonts w:ascii="Times New Roman" w:cs="Times New Roman" w:eastAsia="Times New Roman" w:hAnsi="Times New Roman"/>
            <w:sz w:val="18"/>
            <w:szCs w:val="18"/>
            <w:color w:val="000000"/>
          </w:rPr>
          <w:t>(except for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Item 2.02); and</w:t>
      </w:r>
    </w:p>
    <w:p>
      <w:pPr>
        <w:spacing w:after="0" w:line="71" w:lineRule="exact"/>
        <w:rPr>
          <w:rFonts w:ascii="Times New Roman" w:cs="Times New Roman" w:eastAsia="Times New Roman" w:hAnsi="Times New Roman"/>
          <w:sz w:val="18"/>
          <w:szCs w:val="18"/>
          <w:color w:val="0000EE"/>
        </w:rPr>
      </w:pPr>
    </w:p>
    <w:p>
      <w:pPr>
        <w:ind w:left="1800" w:right="499" w:hanging="180"/>
        <w:spacing w:after="0" w:line="282" w:lineRule="auto"/>
        <w:tabs>
          <w:tab w:leader="none" w:pos="1800" w:val="left"/>
        </w:tabs>
        <w:numPr>
          <w:ilvl w:val="0"/>
          <w:numId w:val="60"/>
        </w:numPr>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the description of our common stock contained in Exhibit 4.6 to our Registration Statement on Form</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S-8, File No. 333-257561, filed with the SEC on June 30, 2021.</w:t>
        </w:r>
      </w:hyperlink>
    </w:p>
    <w:p>
      <w:pPr>
        <w:spacing w:after="0" w:line="81" w:lineRule="exact"/>
        <w:rPr>
          <w:rFonts w:ascii="Times New Roman" w:cs="Times New Roman" w:eastAsia="Times New Roman" w:hAnsi="Times New Roman"/>
          <w:sz w:val="18"/>
          <w:szCs w:val="18"/>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addition, all documents filed by us with the SEC under Sections 13(a), 13(c), 14 or 15(d) of the Exchange Act (other than those furnished pursuant to Item 2.02 or Item 7.01 of Form 8-K, unless otherwise stated therein) after the date of this prospectus and prior to the filing of a post-effective amendment that indicates that all securities offered hereby have been sold or that deregisters all securities remaining unsold, will be considered to be incorporated by reference into this prospectus and to be a part of this prospectus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submitted under Item 2.02 or Item 7.01 of Form 8-K into any filing under the Securities Act or the Exchange Act or into this prospectus or any prospectus supplement, unless otherwise indicated on such Form 8-K.</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documents incorporated by reference, including any exhibits to such documents. You should direct any requests for documents to Teresa L. Dick, Executive Vice President, Chief Accounting Officer and Assistant Secretary, Diamondback Energy, Inc., 515 Central Park Drive, Suite 100, Oklahoma City, Oklahoma 73105; telephone: (405) 463-6900.</w:t>
      </w:r>
    </w:p>
    <w:p>
      <w:pPr>
        <w:spacing w:after="0" w:line="33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to be offered hereby offered by us will be passed upon by Akin Gump Strauss Hauer &amp; Feld LLP. If legal matters in connection with offerings made by this prospectus are passed on by counsel for the underwriters, dealers or agents, if any, that counsel will be named in the applicable prospectus supplement.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35"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regarding estimated quantities of proved reserves, future production and income attributable to certain leasehold and royalty interests of Diamondback Energy, Inc. is based upon estimates of such reserves, future production and income prepared by Ryder Scott Company, L.P, an independent petroleum engineering firm, as of December 31, 2021, 2020 and 2019. This information is incorporated by reference in this prospectus in reliance upon the authority of such firm as experts in these matters.</w:t>
      </w:r>
    </w:p>
    <w:p>
      <w:pPr>
        <w:spacing w:after="0" w:line="10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regarding estimated quantities of proved reserves, future production and income attributable to certain royalty interests of Viper Energy Partners LP, a subsidiary of Diamondback Energy, Inc., is based upon estimates of such reserves, future production and income prepared by Ryder Scott Company, L.P., an independent petroleum engineering firm, as of December 31, 2021, 2020 and 2019. This information is incorporated by reference in this prospectus in reliance upon the authority of such firm as experts in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Diamondback Energy, Inc.</w:t>
      </w:r>
    </w:p>
    <w:p>
      <w:pPr>
        <w:spacing w:after="0" w:line="2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5"/>
          <w:szCs w:val="25"/>
          <w:b w:val="1"/>
          <w:bCs w:val="1"/>
          <w:color w:val="auto"/>
        </w:rPr>
        <w:t>$                   % Senior Notes due 2053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1524635</wp:posOffset>
            </wp:positionV>
            <wp:extent cx="12344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3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                  , 2022</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173355</wp:posOffset>
            </wp:positionV>
            <wp:extent cx="12344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Joint Book Running Managers</w:t>
      </w:r>
    </w:p>
    <w:p>
      <w:pPr>
        <w:spacing w:after="0" w:line="131" w:lineRule="exact"/>
        <w:rPr>
          <w:sz w:val="20"/>
          <w:szCs w:val="20"/>
          <w:color w:val="auto"/>
        </w:rPr>
      </w:pPr>
    </w:p>
    <w:p>
      <w:pPr>
        <w:jc w:val="right"/>
        <w:ind w:right="399"/>
        <w:spacing w:after="0"/>
        <w:tabs>
          <w:tab w:leader="none" w:pos="4980" w:val="left"/>
          <w:tab w:leader="none" w:pos="2160" w:val="left"/>
        </w:tabs>
        <w:rPr>
          <w:sz w:val="20"/>
          <w:szCs w:val="20"/>
          <w:color w:val="auto"/>
        </w:rPr>
      </w:pPr>
      <w:r>
        <w:rPr>
          <w:rFonts w:ascii="Times New Roman" w:cs="Times New Roman" w:eastAsia="Times New Roman" w:hAnsi="Times New Roman"/>
          <w:sz w:val="32"/>
          <w:szCs w:val="32"/>
          <w:b w:val="1"/>
          <w:bCs w:val="1"/>
          <w:color w:val="auto"/>
        </w:rPr>
        <w:t>TD Securities</w:t>
      </w:r>
      <w:r>
        <w:rPr>
          <w:sz w:val="20"/>
          <w:szCs w:val="20"/>
          <w:color w:val="auto"/>
        </w:rPr>
        <w:tab/>
      </w:r>
      <w:r>
        <w:rPr>
          <w:rFonts w:ascii="Times New Roman" w:cs="Times New Roman" w:eastAsia="Times New Roman" w:hAnsi="Times New Roman"/>
          <w:sz w:val="32"/>
          <w:szCs w:val="32"/>
          <w:b w:val="1"/>
          <w:bCs w:val="1"/>
          <w:color w:val="auto"/>
        </w:rPr>
        <w:t>Citigroup</w:t>
      </w:r>
      <w:r>
        <w:rPr>
          <w:sz w:val="20"/>
          <w:szCs w:val="20"/>
          <w:color w:val="auto"/>
        </w:rPr>
        <w:tab/>
      </w:r>
      <w:r>
        <w:rPr>
          <w:rFonts w:ascii="Times New Roman" w:cs="Times New Roman" w:eastAsia="Times New Roman" w:hAnsi="Times New Roman"/>
          <w:sz w:val="30"/>
          <w:szCs w:val="30"/>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1853565</wp:posOffset>
            </wp:positionV>
            <wp:extent cx="52120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246380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3"/>
    </w:lvl>
  </w:abstractNum>
  <w:abstractNum w:abstractNumId="12">
    <w:nsid w:val="3804823E"/>
    <w:multiLevelType w:val="hybridMultilevel"/>
    <w:lvl w:ilvl="0">
      <w:lvlJc w:val="left"/>
      <w:lvlText w:val="(%1)"/>
      <w:numFmt w:val="lowerRoman"/>
      <w:start w:val="1"/>
    </w:lvl>
  </w:abstractNum>
  <w:abstractNum w:abstractNumId="13">
    <w:nsid w:val="77465F01"/>
    <w:multiLevelType w:val="hybridMultilevel"/>
    <w:lvl w:ilvl="0">
      <w:lvlJc w:val="left"/>
      <w:lvlText w:val="(%1)"/>
      <w:numFmt w:val="decimal"/>
      <w:start w:val="1"/>
    </w:lvl>
    <w:lvl w:ilvl="1">
      <w:lvlJc w:val="left"/>
      <w:lvlText w:val="(%2)"/>
      <w:numFmt w:val="lowerLetter"/>
      <w:start w:val="2"/>
    </w:lvl>
  </w:abstractNum>
  <w:abstractNum w:abstractNumId="14">
    <w:nsid w:val="7724C67E"/>
    <w:multiLevelType w:val="hybridMultilevel"/>
    <w:lvl w:ilvl="0">
      <w:lvlJc w:val="left"/>
      <w:lvlText w:val="%1"/>
      <w:numFmt w:val="decimal"/>
      <w:start w:val="1"/>
    </w:lvl>
    <w:lvl w:ilvl="1">
      <w:lvlJc w:val="left"/>
      <w:lvlText w:val="(%2)"/>
      <w:numFmt w:val="lowerLetter"/>
      <w:start w:val="1"/>
    </w:lvl>
  </w:abstractNum>
  <w:abstractNum w:abstractNumId="15">
    <w:nsid w:val="5C482A97"/>
    <w:multiLevelType w:val="hybridMultilevel"/>
    <w:lvl w:ilvl="0">
      <w:lvlJc w:val="left"/>
      <w:lvlText w:val="(%1)"/>
      <w:numFmt w:val="decimal"/>
      <w:start w:val="5"/>
    </w:lvl>
  </w:abstractNum>
  <w:abstractNum w:abstractNumId="16">
    <w:nsid w:val="2463B9EA"/>
    <w:multiLevelType w:val="hybridMultilevel"/>
    <w:lvl w:ilvl="0">
      <w:lvlJc w:val="left"/>
      <w:lvlText w:val="(%1)"/>
      <w:numFmt w:val="decimal"/>
      <w:start w:val="4"/>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1"/>
    </w:lvl>
  </w:abstractNum>
  <w:abstractNum w:abstractNumId="20">
    <w:nsid w:val="580BD78F"/>
    <w:multiLevelType w:val="hybridMultilevel"/>
    <w:lvl w:ilvl="0">
      <w:lvlJc w:val="left"/>
      <w:lvlText w:val="(%1)"/>
      <w:numFmt w:val="decimal"/>
      <w:start w:val="6"/>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1"/>
    </w:lvl>
  </w:abstractNum>
  <w:abstractNum w:abstractNumId="24">
    <w:nsid w:val="6A2342EC"/>
    <w:multiLevelType w:val="hybridMultilevel"/>
    <w:lvl w:ilvl="0">
      <w:lvlJc w:val="left"/>
      <w:lvlText w:val="(%1)"/>
      <w:numFmt w:val="decimal"/>
      <w:start w:val="3"/>
    </w:lvl>
  </w:abstractNum>
  <w:abstractNum w:abstractNumId="25">
    <w:nsid w:val="2A487CB0"/>
    <w:multiLevelType w:val="hybridMultilevel"/>
    <w:lvl w:ilvl="0">
      <w:lvlJc w:val="left"/>
      <w:lvlText w:val="(%1)"/>
      <w:numFmt w:val="decimal"/>
      <w:start w:val="14"/>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10"/>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2"/>
    </w:lvl>
  </w:abstractNum>
  <w:abstractNum w:abstractNumId="35">
    <w:nsid w:val="7644A45C"/>
    <w:multiLevelType w:val="hybridMultilevel"/>
    <w:lvl w:ilvl="0">
      <w:lvlJc w:val="left"/>
      <w:lvlText w:val="(%1)"/>
      <w:numFmt w:val="lowerRoman"/>
      <w:start w:val="1"/>
    </w:lvl>
    <w:lvl w:ilvl="1">
      <w:lvlJc w:val="left"/>
      <w:lvlText w:val="(%2)"/>
      <w:numFmt w:val="lowerLetter"/>
      <w:start w:val="24"/>
    </w:lvl>
  </w:abstractNum>
  <w:abstractNum w:abstractNumId="36">
    <w:nsid w:val="32FFF902"/>
    <w:multiLevelType w:val="hybridMultilevel"/>
    <w:lvl w:ilvl="0">
      <w:lvlJc w:val="left"/>
      <w:lvlText w:val="(%1)"/>
      <w:numFmt w:val="lowerLetter"/>
      <w:start w:val="27"/>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4"/>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53">
    <w:nsid w:val="1CF10FD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4">
    <w:nsid w:val="180115BE"/>
    <w:multiLevelType w:val="hybridMultilevel"/>
    <w:lvl w:ilvl="0">
      <w:lvlJc w:val="left"/>
      <w:lvlText w:val="(%1)"/>
      <w:numFmt w:val="decimal"/>
      <w:start w:val="2"/>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lowerRoman"/>
      <w:start w:val="1"/>
    </w:lvl>
  </w:abstractNum>
  <w:abstractNum w:abstractNumId="58">
    <w:nsid w:val="15B5AF5C"/>
    <w:multiLevelType w:val="hybridMultilevel"/>
    <w:lvl w:ilvl="0">
      <w:lvlJc w:val="left"/>
      <w:lvlText w:val="(%1)"/>
      <w:numFmt w:val="decimal"/>
      <w:start w:val="2"/>
    </w:lvl>
    <w:lvl w:ilvl="1">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jpe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32" Type="http://schemas.openxmlformats.org/officeDocument/2006/relationships/hyperlink" Target="https://www.sec.gov/ix?doc=/Archives/edgar/data/1539838/000153983822000008/fang-20211231.htm" TargetMode="External"/><Relationship Id="rId94" Type="http://schemas.openxmlformats.org/officeDocument/2006/relationships/hyperlink" Target="https://www.sec.gov/ix?doc=/Archives/edgar/data/1539838/000153983822000167/fang-20220930.htm" TargetMode="External"/><Relationship Id="rId95" Type="http://schemas.openxmlformats.org/officeDocument/2006/relationships/hyperlink" Target="https://www.sec.gov/Archives/edgar/data/1539838/000130817922000292/lfang2022_def14a.htm" TargetMode="External"/><Relationship Id="rId96" Type="http://schemas.openxmlformats.org/officeDocument/2006/relationships/hyperlink" Target="https://www.sec.gov/ix?doc=/Archives/edgar/data/1539838/000110465922037500/tm229566d2_8k.htm" TargetMode="External"/><Relationship Id="rId97" Type="http://schemas.openxmlformats.org/officeDocument/2006/relationships/hyperlink" Target="https://www.sec.gov/ix?doc=/Archives/edgar/data/1539838/000119312522151938/d338417d8k.htm" TargetMode="External"/><Relationship Id="rId98" Type="http://schemas.openxmlformats.org/officeDocument/2006/relationships/hyperlink" Target="https://www.sec.gov/ix?doc=/Archives/edgar/data/1539838/000153983822000073/fang-20220602.htm" TargetMode="External"/><Relationship Id="rId99" Type="http://schemas.openxmlformats.org/officeDocument/2006/relationships/hyperlink" Target="https://www.sec.gov/ix?doc=/Archives/edgar/data/1539838/000153983822000102/fang-20220609.htm" TargetMode="External"/><Relationship Id="rId100" Type="http://schemas.openxmlformats.org/officeDocument/2006/relationships/hyperlink" Target="https://www.sec.gov/ix?doc=/Archives/edgar/data/1539838/000153983822000117/fang-20220707.htm" TargetMode="External"/><Relationship Id="rId101" Type="http://schemas.openxmlformats.org/officeDocument/2006/relationships/hyperlink" Target="https://www.sec.gov/ix?doc=/Archives/edgar/data/1539838/000153983822000151/fang-20220928.htm" TargetMode="External"/><Relationship Id="rId102" Type="http://schemas.openxmlformats.org/officeDocument/2006/relationships/hyperlink" Target="https://www.sec.gov/ix?doc=/Archives/edgar/data/1539838/000153983822000157/fang-20221011.htm" TargetMode="External"/><Relationship Id="rId103" Type="http://schemas.openxmlformats.org/officeDocument/2006/relationships/hyperlink" Target="https://www.sec.gov/ix?doc=/Archives/edgar/data/1539838/000153983822000160/fang-20221017.htm" TargetMode="External"/><Relationship Id="rId104" Type="http://schemas.openxmlformats.org/officeDocument/2006/relationships/hyperlink" Target="https://www.sec.gov/ix?doc=/Archives/edgar/data/1539838/000110465922112432/tm2229096d1_8k.htm" TargetMode="External"/><Relationship Id="rId105" Type="http://schemas.openxmlformats.org/officeDocument/2006/relationships/hyperlink" Target="https://www.sec.gov/ix?doc=/Archives/edgar/data/1539838/000153983822000163/fang-20221107.htm" TargetMode="External"/><Relationship Id="rId106" Type="http://schemas.openxmlformats.org/officeDocument/2006/relationships/hyperlink" Target="https://www.sec.gov/ix?doc=/Archives/edgar/data/1539838/000153983822000173/fang-20221116.htm" TargetMode="External"/><Relationship Id="rId107" Type="http://schemas.openxmlformats.org/officeDocument/2006/relationships/hyperlink" Target="https://www.sec.gov/Archives/edgar/data/1539838/000153983821000105/diamondbackex46-6x30x21.htm" TargetMode="External"/><Relationship Id="rId125" Type="http://schemas.openxmlformats.org/officeDocument/2006/relationships/hyperlink" Target="https://www.sec.gov/ix?doc=/Archives/edgar/data/1539838/000153983822000058/fang-20220331.htm" TargetMode="External"/><Relationship Id="rId148" Type="http://schemas.openxmlformats.org/officeDocument/2006/relationships/hyperlink" Target="https://www.sec.gov/ix?doc=/Archives/edgar/data/1539838/000153983822000133/fang-2022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2022-11-29T07:31:42Z</dcterms:created>
  <dcterms:modified xsi:type="dcterms:W3CDTF">2022-11-29T07:31:42Z</dcterms:modified>
</cp:coreProperties>
</file>