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April 10, 2013</w:t>
      </w:r>
    </w:p>
    <w:p>
      <w:pPr>
        <w:jc w:val="right"/>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jc w:val="center"/>
        <w:spacing w:after="0" w:line="203" w:lineRule="auto"/>
        <w:rPr>
          <w:sz w:val="20"/>
          <w:szCs w:val="20"/>
          <w:color w:val="auto"/>
        </w:rPr>
      </w:pPr>
      <w:r>
        <w:rPr>
          <w:rFonts w:ascii="Arial" w:cs="Arial" w:eastAsia="Arial" w:hAnsi="Arial"/>
          <w:sz w:val="18"/>
          <w:szCs w:val="18"/>
          <w:b w:val="1"/>
          <w:bCs w:val="1"/>
          <w:color w:val="auto"/>
        </w:rPr>
        <w:t>REGISTRATION STATEMENT</w:t>
      </w:r>
    </w:p>
    <w:p>
      <w:pPr>
        <w:jc w:val="center"/>
        <w:spacing w:after="0" w:line="204" w:lineRule="auto"/>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-229235</wp:posOffset>
            </wp:positionV>
            <wp:extent cx="2229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2480" w:type="dxa"/>
            <w:vAlign w:val="bottom"/>
          </w:tcPr>
          <w:p>
            <w:pPr>
              <w:jc w:val="center"/>
              <w:ind w:right="548"/>
              <w:spacing w:after="0"/>
              <w:rPr>
                <w:sz w:val="20"/>
                <w:szCs w:val="20"/>
                <w:color w:val="auto"/>
              </w:rPr>
            </w:pPr>
            <w:r>
              <w:rPr>
                <w:rFonts w:ascii="Arial" w:cs="Arial" w:eastAsia="Arial" w:hAnsi="Arial"/>
                <w:sz w:val="14"/>
                <w:szCs w:val="14"/>
                <w:b w:val="1"/>
                <w:bCs w:val="1"/>
                <w:color w:val="auto"/>
                <w:w w:val="94"/>
              </w:rPr>
              <w:t>Delaware</w:t>
            </w:r>
          </w:p>
        </w:tc>
        <w:tc>
          <w:tcPr>
            <w:tcW w:w="40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1311</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45-4502447</w:t>
            </w:r>
          </w:p>
        </w:tc>
      </w:tr>
      <w:tr>
        <w:trPr>
          <w:trHeight w:val="149"/>
        </w:trPr>
        <w:tc>
          <w:tcPr>
            <w:tcW w:w="248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(Primary Standard Industrial Classification</w:t>
            </w:r>
          </w:p>
        </w:tc>
        <w:tc>
          <w:tcPr>
            <w:tcW w:w="2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ind w:right="548"/>
              <w:spacing w:after="0"/>
              <w:rPr>
                <w:sz w:val="20"/>
                <w:szCs w:val="20"/>
                <w:color w:val="auto"/>
              </w:rPr>
            </w:pPr>
            <w:r>
              <w:rPr>
                <w:rFonts w:ascii="Arial" w:cs="Arial" w:eastAsia="Arial" w:hAnsi="Arial"/>
                <w:sz w:val="14"/>
                <w:szCs w:val="14"/>
                <w:b w:val="1"/>
                <w:bCs w:val="1"/>
                <w:color w:val="auto"/>
                <w:w w:val="93"/>
              </w:rPr>
              <w:t>incorporation or organization)</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3"/>
              </w:rPr>
              <w:t>Code Number)</w:t>
            </w:r>
          </w:p>
        </w:tc>
        <w:tc>
          <w:tcPr>
            <w:tcW w:w="2140" w:type="dxa"/>
            <w:vAlign w:val="bottom"/>
          </w:tcPr>
          <w:p>
            <w:pPr>
              <w:jc w:val="center"/>
              <w:ind w:left="64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85090</wp:posOffset>
            </wp:positionV>
            <wp:extent cx="2212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500 West Texas</w:t>
      </w:r>
    </w:p>
    <w:p>
      <w:pPr>
        <w:jc w:val="center"/>
        <w:spacing w:after="0" w:line="226" w:lineRule="auto"/>
        <w:rPr>
          <w:sz w:val="20"/>
          <w:szCs w:val="20"/>
          <w:color w:val="auto"/>
        </w:rPr>
      </w:pPr>
      <w:r>
        <w:rPr>
          <w:rFonts w:ascii="Arial" w:cs="Arial" w:eastAsia="Arial" w:hAnsi="Arial"/>
          <w:sz w:val="14"/>
          <w:szCs w:val="14"/>
          <w:b w:val="1"/>
          <w:bCs w:val="1"/>
          <w:color w:val="auto"/>
        </w:rPr>
        <w:t>Suite 1225</w:t>
      </w:r>
    </w:p>
    <w:p>
      <w:pPr>
        <w:jc w:val="center"/>
        <w:spacing w:after="0" w:line="222" w:lineRule="auto"/>
        <w:rPr>
          <w:sz w:val="20"/>
          <w:szCs w:val="20"/>
          <w:color w:val="auto"/>
        </w:rPr>
      </w:pPr>
      <w:r>
        <w:rPr>
          <w:rFonts w:ascii="Arial" w:cs="Arial" w:eastAsia="Arial" w:hAnsi="Arial"/>
          <w:sz w:val="14"/>
          <w:szCs w:val="14"/>
          <w:b w:val="1"/>
          <w:bCs w:val="1"/>
          <w:color w:val="auto"/>
        </w:rPr>
        <w:t>Midland, Texas 79701</w:t>
      </w:r>
    </w:p>
    <w:p>
      <w:pPr>
        <w:jc w:val="center"/>
        <w:spacing w:after="0" w:line="221" w:lineRule="auto"/>
        <w:rPr>
          <w:sz w:val="20"/>
          <w:szCs w:val="20"/>
          <w:color w:val="auto"/>
        </w:rPr>
      </w:pPr>
      <w:r>
        <w:rPr>
          <w:rFonts w:ascii="Arial" w:cs="Arial" w:eastAsia="Arial" w:hAnsi="Arial"/>
          <w:sz w:val="14"/>
          <w:szCs w:val="14"/>
          <w:b w:val="1"/>
          <w:bCs w:val="1"/>
          <w:color w:val="auto"/>
        </w:rPr>
        <w:t>(432) 221-7400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90805</wp:posOffset>
            </wp:positionV>
            <wp:extent cx="2212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Teresa Dick</w:t>
      </w:r>
    </w:p>
    <w:p>
      <w:pPr>
        <w:jc w:val="center"/>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spacing w:after="0" w:line="222" w:lineRule="auto"/>
        <w:rPr>
          <w:sz w:val="20"/>
          <w:szCs w:val="20"/>
          <w:color w:val="auto"/>
        </w:rPr>
      </w:pPr>
      <w:r>
        <w:rPr>
          <w:rFonts w:ascii="Arial" w:cs="Arial" w:eastAsia="Arial" w:hAnsi="Arial"/>
          <w:sz w:val="14"/>
          <w:szCs w:val="14"/>
          <w:b w:val="1"/>
          <w:bCs w:val="1"/>
          <w:color w:val="auto"/>
        </w:rPr>
        <w:t>Diamondback Energy, Inc.</w:t>
      </w:r>
    </w:p>
    <w:p>
      <w:pPr>
        <w:jc w:val="center"/>
        <w:spacing w:after="0" w:line="221" w:lineRule="auto"/>
        <w:rPr>
          <w:sz w:val="20"/>
          <w:szCs w:val="20"/>
          <w:color w:val="auto"/>
        </w:rPr>
      </w:pPr>
      <w:r>
        <w:rPr>
          <w:rFonts w:ascii="Arial" w:cs="Arial" w:eastAsia="Arial" w:hAnsi="Arial"/>
          <w:sz w:val="14"/>
          <w:szCs w:val="14"/>
          <w:b w:val="1"/>
          <w:bCs w:val="1"/>
          <w:color w:val="auto"/>
        </w:rPr>
        <w:t>14301 Caliber Drive</w:t>
      </w:r>
    </w:p>
    <w:p>
      <w:pPr>
        <w:jc w:val="center"/>
        <w:spacing w:after="0" w:line="222" w:lineRule="auto"/>
        <w:rPr>
          <w:sz w:val="20"/>
          <w:szCs w:val="20"/>
          <w:color w:val="auto"/>
        </w:rPr>
      </w:pPr>
      <w:r>
        <w:rPr>
          <w:rFonts w:ascii="Arial" w:cs="Arial" w:eastAsia="Arial" w:hAnsi="Arial"/>
          <w:sz w:val="14"/>
          <w:szCs w:val="14"/>
          <w:b w:val="1"/>
          <w:bCs w:val="1"/>
          <w:color w:val="auto"/>
        </w:rPr>
        <w:t>Suite 300</w:t>
      </w:r>
    </w:p>
    <w:p>
      <w:pPr>
        <w:jc w:val="center"/>
        <w:spacing w:after="0" w:line="221" w:lineRule="auto"/>
        <w:rPr>
          <w:sz w:val="20"/>
          <w:szCs w:val="20"/>
          <w:color w:val="auto"/>
        </w:rPr>
      </w:pPr>
      <w:r>
        <w:rPr>
          <w:rFonts w:ascii="Arial" w:cs="Arial" w:eastAsia="Arial" w:hAnsi="Arial"/>
          <w:sz w:val="14"/>
          <w:szCs w:val="14"/>
          <w:b w:val="1"/>
          <w:bCs w:val="1"/>
          <w:color w:val="auto"/>
        </w:rPr>
        <w:t>Oklahoma City, Oklahoma 73134</w:t>
      </w:r>
    </w:p>
    <w:p>
      <w:pPr>
        <w:jc w:val="center"/>
        <w:spacing w:after="0" w:line="222" w:lineRule="auto"/>
        <w:rPr>
          <w:sz w:val="20"/>
          <w:szCs w:val="20"/>
          <w:color w:val="auto"/>
        </w:rPr>
      </w:pPr>
      <w:r>
        <w:rPr>
          <w:rFonts w:ascii="Arial" w:cs="Arial" w:eastAsia="Arial" w:hAnsi="Arial"/>
          <w:sz w:val="14"/>
          <w:szCs w:val="14"/>
          <w:b w:val="1"/>
          <w:bCs w:val="1"/>
          <w:color w:val="auto"/>
        </w:rPr>
        <w:t>(405) 463-6900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90805</wp:posOffset>
            </wp:positionV>
            <wp:extent cx="2212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284"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5680" w:type="dxa"/>
            <w:vAlign w:val="bottom"/>
          </w:tcPr>
          <w:p>
            <w:pPr>
              <w:ind w:left="980"/>
              <w:spacing w:after="0"/>
              <w:rPr>
                <w:sz w:val="20"/>
                <w:szCs w:val="20"/>
                <w:color w:val="auto"/>
              </w:rPr>
            </w:pPr>
            <w:r>
              <w:rPr>
                <w:rFonts w:ascii="Arial" w:cs="Arial" w:eastAsia="Arial" w:hAnsi="Arial"/>
                <w:sz w:val="18"/>
                <w:szCs w:val="18"/>
                <w:b w:val="1"/>
                <w:bCs w:val="1"/>
                <w:i w:val="1"/>
                <w:iCs w:val="1"/>
                <w:color w:val="auto"/>
              </w:rPr>
              <w:t>Copies to:</w:t>
            </w:r>
          </w:p>
        </w:tc>
        <w:tc>
          <w:tcPr>
            <w:tcW w:w="0" w:type="dxa"/>
            <w:vAlign w:val="bottom"/>
          </w:tcPr>
          <w:p>
            <w:pPr>
              <w:spacing w:after="0"/>
              <w:rPr>
                <w:sz w:val="1"/>
                <w:szCs w:val="1"/>
                <w:color w:val="auto"/>
              </w:rPr>
            </w:pPr>
          </w:p>
        </w:tc>
      </w:tr>
      <w:tr>
        <w:trPr>
          <w:trHeight w:val="180"/>
        </w:trPr>
        <w:tc>
          <w:tcPr>
            <w:tcW w:w="3400" w:type="dxa"/>
            <w:vAlign w:val="bottom"/>
            <w:vMerge w:val="restart"/>
          </w:tcPr>
          <w:p>
            <w:pPr>
              <w:jc w:val="center"/>
              <w:ind w:right="908"/>
              <w:spacing w:after="0"/>
              <w:rPr>
                <w:sz w:val="20"/>
                <w:szCs w:val="20"/>
                <w:color w:val="auto"/>
              </w:rPr>
            </w:pPr>
            <w:r>
              <w:rPr>
                <w:rFonts w:ascii="Arial" w:cs="Arial" w:eastAsia="Arial" w:hAnsi="Arial"/>
                <w:sz w:val="14"/>
                <w:szCs w:val="14"/>
                <w:b w:val="1"/>
                <w:bCs w:val="1"/>
                <w:color w:val="auto"/>
                <w:w w:val="93"/>
              </w:rPr>
              <w:t>Seth R. Molay, P.C.</w:t>
            </w:r>
          </w:p>
        </w:tc>
        <w:tc>
          <w:tcPr>
            <w:tcW w:w="5680" w:type="dxa"/>
            <w:vAlign w:val="bottom"/>
          </w:tcPr>
          <w:p>
            <w:pPr>
              <w:jc w:val="center"/>
              <w:ind w:left="3905"/>
              <w:spacing w:after="0"/>
              <w:rPr>
                <w:sz w:val="20"/>
                <w:szCs w:val="20"/>
                <w:color w:val="auto"/>
              </w:rPr>
            </w:pPr>
            <w:r>
              <w:rPr>
                <w:rFonts w:ascii="Arial" w:cs="Arial" w:eastAsia="Arial" w:hAnsi="Arial"/>
                <w:sz w:val="14"/>
                <w:szCs w:val="14"/>
                <w:b w:val="1"/>
                <w:bCs w:val="1"/>
                <w:color w:val="auto"/>
                <w:w w:val="93"/>
              </w:rPr>
              <w:t>J. Michael Chambers</w:t>
            </w:r>
          </w:p>
        </w:tc>
        <w:tc>
          <w:tcPr>
            <w:tcW w:w="0" w:type="dxa"/>
            <w:vAlign w:val="bottom"/>
          </w:tcPr>
          <w:p>
            <w:pPr>
              <w:spacing w:after="0"/>
              <w:rPr>
                <w:sz w:val="1"/>
                <w:szCs w:val="1"/>
                <w:color w:val="auto"/>
              </w:rPr>
            </w:pPr>
          </w:p>
        </w:tc>
      </w:tr>
      <w:tr>
        <w:trPr>
          <w:trHeight w:val="149"/>
        </w:trPr>
        <w:tc>
          <w:tcPr>
            <w:tcW w:w="3400" w:type="dxa"/>
            <w:vAlign w:val="bottom"/>
            <w:vMerge w:val="continue"/>
          </w:tcPr>
          <w:p>
            <w:pPr>
              <w:spacing w:after="0"/>
              <w:rPr>
                <w:sz w:val="12"/>
                <w:szCs w:val="12"/>
                <w:color w:val="auto"/>
              </w:rPr>
            </w:pPr>
          </w:p>
        </w:tc>
        <w:tc>
          <w:tcPr>
            <w:tcW w:w="5680" w:type="dxa"/>
            <w:vAlign w:val="bottom"/>
          </w:tcPr>
          <w:p>
            <w:pPr>
              <w:jc w:val="center"/>
              <w:ind w:left="3905"/>
              <w:spacing w:after="0" w:line="149" w:lineRule="exact"/>
              <w:rPr>
                <w:sz w:val="20"/>
                <w:szCs w:val="20"/>
                <w:color w:val="auto"/>
              </w:rPr>
            </w:pPr>
            <w:r>
              <w:rPr>
                <w:rFonts w:ascii="Arial" w:cs="Arial" w:eastAsia="Arial" w:hAnsi="Arial"/>
                <w:sz w:val="14"/>
                <w:szCs w:val="14"/>
                <w:b w:val="1"/>
                <w:bCs w:val="1"/>
                <w:color w:val="auto"/>
                <w:w w:val="90"/>
              </w:rPr>
              <w:t>Keith Benson</w:t>
            </w:r>
          </w:p>
        </w:tc>
        <w:tc>
          <w:tcPr>
            <w:tcW w:w="0" w:type="dxa"/>
            <w:vAlign w:val="bottom"/>
          </w:tcPr>
          <w:p>
            <w:pPr>
              <w:spacing w:after="0"/>
              <w:rPr>
                <w:sz w:val="1"/>
                <w:szCs w:val="1"/>
                <w:color w:val="auto"/>
              </w:rPr>
            </w:pPr>
          </w:p>
        </w:tc>
      </w:tr>
      <w:tr>
        <w:trPr>
          <w:trHeight w:val="149"/>
        </w:trPr>
        <w:tc>
          <w:tcPr>
            <w:tcW w:w="340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Akin Gump Strauss Hauer &amp; Feld LLP</w:t>
            </w:r>
          </w:p>
        </w:tc>
        <w:tc>
          <w:tcPr>
            <w:tcW w:w="5680" w:type="dxa"/>
            <w:vAlign w:val="bottom"/>
          </w:tcPr>
          <w:p>
            <w:pPr>
              <w:jc w:val="center"/>
              <w:ind w:left="3905"/>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0" w:type="dxa"/>
            <w:vAlign w:val="bottom"/>
          </w:tcPr>
          <w:p>
            <w:pPr>
              <w:spacing w:after="0"/>
              <w:rPr>
                <w:sz w:val="1"/>
                <w:szCs w:val="1"/>
                <w:color w:val="auto"/>
              </w:rPr>
            </w:pPr>
          </w:p>
        </w:tc>
      </w:tr>
      <w:tr>
        <w:trPr>
          <w:trHeight w:val="149"/>
        </w:trPr>
        <w:tc>
          <w:tcPr>
            <w:tcW w:w="340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1"/>
              </w:rPr>
              <w:t>1700 Pacific Avenue, Suite 4100</w:t>
            </w:r>
          </w:p>
        </w:tc>
        <w:tc>
          <w:tcPr>
            <w:tcW w:w="5680" w:type="dxa"/>
            <w:vAlign w:val="bottom"/>
          </w:tcPr>
          <w:p>
            <w:pPr>
              <w:jc w:val="center"/>
              <w:ind w:left="3925"/>
              <w:spacing w:after="0" w:line="149" w:lineRule="exact"/>
              <w:rPr>
                <w:sz w:val="20"/>
                <w:szCs w:val="20"/>
                <w:color w:val="auto"/>
              </w:rPr>
            </w:pPr>
            <w:r>
              <w:rPr>
                <w:rFonts w:ascii="Arial" w:cs="Arial" w:eastAsia="Arial" w:hAnsi="Arial"/>
                <w:sz w:val="14"/>
                <w:szCs w:val="14"/>
                <w:b w:val="1"/>
                <w:bCs w:val="1"/>
                <w:color w:val="auto"/>
                <w:w w:val="93"/>
              </w:rPr>
              <w:t>811 Main Street, Suite 3700</w:t>
            </w:r>
          </w:p>
        </w:tc>
        <w:tc>
          <w:tcPr>
            <w:tcW w:w="0" w:type="dxa"/>
            <w:vAlign w:val="bottom"/>
          </w:tcPr>
          <w:p>
            <w:pPr>
              <w:spacing w:after="0"/>
              <w:rPr>
                <w:sz w:val="1"/>
                <w:szCs w:val="1"/>
                <w:color w:val="auto"/>
              </w:rPr>
            </w:pPr>
          </w:p>
        </w:tc>
      </w:tr>
      <w:tr>
        <w:trPr>
          <w:trHeight w:val="149"/>
        </w:trPr>
        <w:tc>
          <w:tcPr>
            <w:tcW w:w="340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Dallas, TX 75201</w:t>
            </w:r>
          </w:p>
        </w:tc>
        <w:tc>
          <w:tcPr>
            <w:tcW w:w="5680" w:type="dxa"/>
            <w:vAlign w:val="bottom"/>
          </w:tcPr>
          <w:p>
            <w:pPr>
              <w:jc w:val="center"/>
              <w:ind w:left="3905"/>
              <w:spacing w:after="0" w:line="149" w:lineRule="exact"/>
              <w:rPr>
                <w:sz w:val="20"/>
                <w:szCs w:val="20"/>
                <w:color w:val="auto"/>
              </w:rPr>
            </w:pPr>
            <w:r>
              <w:rPr>
                <w:rFonts w:ascii="Arial" w:cs="Arial" w:eastAsia="Arial" w:hAnsi="Arial"/>
                <w:sz w:val="14"/>
                <w:szCs w:val="14"/>
                <w:b w:val="1"/>
                <w:bCs w:val="1"/>
                <w:color w:val="auto"/>
                <w:w w:val="94"/>
              </w:rPr>
              <w:t>Houston, TX 77002</w:t>
            </w:r>
          </w:p>
        </w:tc>
        <w:tc>
          <w:tcPr>
            <w:tcW w:w="0" w:type="dxa"/>
            <w:vAlign w:val="bottom"/>
          </w:tcPr>
          <w:p>
            <w:pPr>
              <w:spacing w:after="0"/>
              <w:rPr>
                <w:sz w:val="1"/>
                <w:szCs w:val="1"/>
                <w:color w:val="auto"/>
              </w:rPr>
            </w:pPr>
          </w:p>
        </w:tc>
      </w:tr>
      <w:tr>
        <w:trPr>
          <w:trHeight w:val="186"/>
        </w:trPr>
        <w:tc>
          <w:tcPr>
            <w:tcW w:w="340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(214) 969-4780</w:t>
            </w:r>
          </w:p>
        </w:tc>
        <w:tc>
          <w:tcPr>
            <w:tcW w:w="5680" w:type="dxa"/>
            <w:vAlign w:val="bottom"/>
          </w:tcPr>
          <w:p>
            <w:pPr>
              <w:jc w:val="center"/>
              <w:ind w:left="3905"/>
              <w:spacing w:after="0"/>
              <w:rPr>
                <w:sz w:val="20"/>
                <w:szCs w:val="20"/>
                <w:color w:val="auto"/>
              </w:rPr>
            </w:pPr>
            <w:r>
              <w:rPr>
                <w:rFonts w:ascii="Arial" w:cs="Arial" w:eastAsia="Arial" w:hAnsi="Arial"/>
                <w:sz w:val="14"/>
                <w:szCs w:val="14"/>
                <w:b w:val="1"/>
                <w:bCs w:val="1"/>
                <w:color w:val="auto"/>
                <w:w w:val="93"/>
              </w:rPr>
              <w:t>(713) 546-7416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85090</wp:posOffset>
            </wp:positionV>
            <wp:extent cx="2212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17145"/>
                    </a:xfrm>
                    <a:prstGeom prst="rect">
                      <a:avLst/>
                    </a:prstGeom>
                    <a:noFill/>
                  </pic:spPr>
                </pic:pic>
              </a:graphicData>
            </a:graphic>
          </wp:anchor>
        </w:drawing>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19" w:lineRule="exact"/>
        <w:rPr>
          <w:sz w:val="24"/>
          <w:szCs w:val="24"/>
          <w:color w:val="auto"/>
        </w:rPr>
      </w:pPr>
    </w:p>
    <w:p>
      <w:pPr>
        <w:ind w:left="440"/>
        <w:spacing w:after="0" w:line="174" w:lineRule="exact"/>
        <w:rPr>
          <w:sz w:val="20"/>
          <w:szCs w:val="20"/>
          <w:color w:val="auto"/>
        </w:rPr>
      </w:pPr>
      <w:r>
        <w:rPr>
          <w:rFonts w:ascii="Arial" w:cs="Arial" w:eastAsia="Arial" w:hAnsi="Arial"/>
          <w:sz w:val="15"/>
          <w:szCs w:val="15"/>
          <w:color w:val="auto"/>
        </w:rPr>
        <w:t xml:space="preserve">If any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ind w:left="440" w:right="60"/>
        <w:spacing w:after="0" w:line="179"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 w:lineRule="exact"/>
        <w:rPr>
          <w:sz w:val="24"/>
          <w:szCs w:val="24"/>
          <w:color w:val="auto"/>
        </w:rPr>
      </w:pPr>
    </w:p>
    <w:p>
      <w:pPr>
        <w:ind w:left="440" w:right="60"/>
        <w:spacing w:after="0" w:line="179"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 w:lineRule="exact"/>
        <w:rPr>
          <w:sz w:val="24"/>
          <w:szCs w:val="24"/>
          <w:color w:val="auto"/>
        </w:rPr>
      </w:pPr>
    </w:p>
    <w:p>
      <w:pPr>
        <w:ind w:left="440" w:right="40"/>
        <w:spacing w:after="0" w:line="179"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 w:lineRule="exact"/>
        <w:rPr>
          <w:sz w:val="24"/>
          <w:szCs w:val="24"/>
          <w:color w:val="auto"/>
        </w:rPr>
      </w:pPr>
    </w:p>
    <w:p>
      <w:pPr>
        <w:ind w:left="440" w:right="120"/>
        <w:spacing w:after="0" w:line="23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ind w:left="40"/>
              <w:spacing w:after="0"/>
              <w:rPr>
                <w:sz w:val="20"/>
                <w:szCs w:val="20"/>
                <w:color w:val="auto"/>
              </w:rPr>
            </w:pPr>
            <w:r>
              <w:rPr>
                <w:rFonts w:ascii="Arial" w:cs="Arial" w:eastAsia="Arial" w:hAnsi="Arial"/>
                <w:sz w:val="15"/>
                <w:szCs w:val="15"/>
                <w:color w:val="auto"/>
              </w:rPr>
              <w:t>Large Accelerated Filer</w:t>
            </w:r>
          </w:p>
        </w:tc>
        <w:tc>
          <w:tcPr>
            <w:tcW w:w="4200" w:type="dxa"/>
            <w:vAlign w:val="bottom"/>
            <w:gridSpan w:val="2"/>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780"/>
              <w:spacing w:after="0"/>
              <w:rPr>
                <w:sz w:val="20"/>
                <w:szCs w:val="20"/>
                <w:color w:val="auto"/>
              </w:rPr>
            </w:pPr>
            <w:r>
              <w:rPr>
                <w:rFonts w:ascii="Arial" w:cs="Arial" w:eastAsia="Arial" w:hAnsi="Arial"/>
                <w:sz w:val="15"/>
                <w:szCs w:val="15"/>
                <w:color w:val="auto"/>
              </w:rPr>
              <w:t>Accelerated Filer</w:t>
            </w:r>
          </w:p>
        </w:tc>
        <w:tc>
          <w:tcPr>
            <w:tcW w:w="1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2"/>
        </w:trPr>
        <w:tc>
          <w:tcPr>
            <w:tcW w:w="1900" w:type="dxa"/>
            <w:vAlign w:val="bottom"/>
          </w:tcPr>
          <w:p>
            <w:pPr>
              <w:ind w:left="40"/>
              <w:spacing w:after="0"/>
              <w:rPr>
                <w:sz w:val="20"/>
                <w:szCs w:val="20"/>
                <w:color w:val="auto"/>
              </w:rPr>
            </w:pPr>
            <w:r>
              <w:rPr>
                <w:rFonts w:ascii="Arial" w:cs="Arial" w:eastAsia="Arial" w:hAnsi="Arial"/>
                <w:sz w:val="15"/>
                <w:szCs w:val="15"/>
                <w:color w:val="auto"/>
              </w:rPr>
              <w:t>Non-Accelerated Filer</w:t>
            </w: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4"/>
                <w:szCs w:val="14"/>
                <w:color w:val="auto"/>
              </w:rPr>
              <w:t>(Do not check if a smaller reporting company)</w:t>
            </w:r>
          </w:p>
        </w:tc>
        <w:tc>
          <w:tcPr>
            <w:tcW w:w="3460" w:type="dxa"/>
            <w:vAlign w:val="bottom"/>
          </w:tcPr>
          <w:p>
            <w:pPr>
              <w:ind w:left="780"/>
              <w:spacing w:after="0"/>
              <w:rPr>
                <w:sz w:val="20"/>
                <w:szCs w:val="20"/>
                <w:color w:val="auto"/>
              </w:rPr>
            </w:pPr>
            <w:r>
              <w:rPr>
                <w:rFonts w:ascii="Arial" w:cs="Arial" w:eastAsia="Arial" w:hAnsi="Arial"/>
                <w:sz w:val="15"/>
                <w:szCs w:val="15"/>
                <w:color w:val="auto"/>
              </w:rPr>
              <w:t>Smaller Reporting Company</w:t>
            </w:r>
          </w:p>
        </w:tc>
        <w:tc>
          <w:tcPr>
            <w:tcW w:w="1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spacing w:after="0"/>
              <w:rPr>
                <w:sz w:val="19"/>
                <w:szCs w:val="19"/>
                <w:color w:val="auto"/>
              </w:rPr>
            </w:pPr>
          </w:p>
        </w:tc>
        <w:tc>
          <w:tcPr>
            <w:tcW w:w="7660" w:type="dxa"/>
            <w:vAlign w:val="bottom"/>
            <w:gridSpan w:val="3"/>
          </w:tcPr>
          <w:p>
            <w:pPr>
              <w:ind w:left="2440"/>
              <w:spacing w:after="0"/>
              <w:rPr>
                <w:sz w:val="20"/>
                <w:szCs w:val="20"/>
                <w:color w:val="auto"/>
              </w:rPr>
            </w:pPr>
            <w:r>
              <w:rPr>
                <w:rFonts w:ascii="Arial" w:cs="Arial" w:eastAsia="Arial" w:hAnsi="Arial"/>
                <w:sz w:val="14"/>
                <w:szCs w:val="14"/>
                <w:b w:val="1"/>
                <w:bCs w:val="1"/>
                <w:color w:val="auto"/>
              </w:rPr>
              <w:t>CALCULATION OF REGISTRATION FEE</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900" w:type="dxa"/>
            <w:vAlign w:val="bottom"/>
            <w:tcBorders>
              <w:bottom w:val="single" w:sz="8" w:color="00000A"/>
            </w:tcBorders>
          </w:tcPr>
          <w:p>
            <w:pPr>
              <w:spacing w:after="0"/>
              <w:rPr>
                <w:sz w:val="10"/>
                <w:szCs w:val="10"/>
                <w:color w:val="auto"/>
              </w:rPr>
            </w:pPr>
          </w:p>
        </w:tc>
        <w:tc>
          <w:tcPr>
            <w:tcW w:w="2560" w:type="dxa"/>
            <w:vAlign w:val="bottom"/>
            <w:tcBorders>
              <w:bottom w:val="single" w:sz="8" w:color="00000A"/>
            </w:tcBorders>
          </w:tcPr>
          <w:p>
            <w:pPr>
              <w:spacing w:after="0"/>
              <w:rPr>
                <w:sz w:val="10"/>
                <w:szCs w:val="10"/>
                <w:color w:val="auto"/>
              </w:rPr>
            </w:pPr>
          </w:p>
        </w:tc>
        <w:tc>
          <w:tcPr>
            <w:tcW w:w="1640" w:type="dxa"/>
            <w:vAlign w:val="bottom"/>
            <w:tcBorders>
              <w:bottom w:val="single" w:sz="8" w:color="00000A"/>
            </w:tcBorders>
          </w:tcPr>
          <w:p>
            <w:pPr>
              <w:spacing w:after="0"/>
              <w:rPr>
                <w:sz w:val="10"/>
                <w:szCs w:val="10"/>
                <w:color w:val="auto"/>
              </w:rPr>
            </w:pPr>
          </w:p>
        </w:tc>
        <w:tc>
          <w:tcPr>
            <w:tcW w:w="3460" w:type="dxa"/>
            <w:vAlign w:val="bottom"/>
            <w:tcBorders>
              <w:bottom w:val="single" w:sz="8" w:color="00000A"/>
            </w:tcBorders>
          </w:tcPr>
          <w:p>
            <w:pPr>
              <w:spacing w:after="0"/>
              <w:rPr>
                <w:sz w:val="10"/>
                <w:szCs w:val="10"/>
                <w:color w:val="auto"/>
              </w:rPr>
            </w:pPr>
          </w:p>
        </w:tc>
        <w:tc>
          <w:tcPr>
            <w:tcW w:w="1860" w:type="dxa"/>
            <w:vAlign w:val="bottom"/>
            <w:tcBorders>
              <w:bottom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00" w:type="dxa"/>
            <w:vAlign w:val="bottom"/>
            <w:tcBorders>
              <w:bottom w:val="single" w:sz="8" w:color="00000A"/>
            </w:tcBorders>
          </w:tcPr>
          <w:p>
            <w:pPr>
              <w:spacing w:after="0" w:line="20" w:lineRule="exact"/>
              <w:rPr>
                <w:sz w:val="1"/>
                <w:szCs w:val="1"/>
                <w:color w:val="auto"/>
              </w:rPr>
            </w:pPr>
          </w:p>
        </w:tc>
        <w:tc>
          <w:tcPr>
            <w:tcW w:w="2560" w:type="dxa"/>
            <w:vAlign w:val="bottom"/>
            <w:tcBorders>
              <w:bottom w:val="single" w:sz="8" w:color="00000A"/>
            </w:tcBorders>
          </w:tcPr>
          <w:p>
            <w:pPr>
              <w:spacing w:after="0" w:line="20" w:lineRule="exact"/>
              <w:rPr>
                <w:sz w:val="1"/>
                <w:szCs w:val="1"/>
                <w:color w:val="auto"/>
              </w:rPr>
            </w:pPr>
          </w:p>
        </w:tc>
        <w:tc>
          <w:tcPr>
            <w:tcW w:w="1640" w:type="dxa"/>
            <w:vAlign w:val="bottom"/>
            <w:tcBorders>
              <w:bottom w:val="single" w:sz="8" w:color="00000A"/>
            </w:tcBorders>
          </w:tcPr>
          <w:p>
            <w:pPr>
              <w:spacing w:after="0" w:line="20" w:lineRule="exact"/>
              <w:rPr>
                <w:sz w:val="1"/>
                <w:szCs w:val="1"/>
                <w:color w:val="auto"/>
              </w:rPr>
            </w:pPr>
          </w:p>
        </w:tc>
        <w:tc>
          <w:tcPr>
            <w:tcW w:w="3460" w:type="dxa"/>
            <w:vAlign w:val="bottom"/>
            <w:tcBorders>
              <w:bottom w:val="single" w:sz="8" w:color="00000A"/>
            </w:tcBorders>
          </w:tcPr>
          <w:p>
            <w:pPr>
              <w:spacing w:after="0" w:line="20" w:lineRule="exact"/>
              <w:rPr>
                <w:sz w:val="1"/>
                <w:szCs w:val="1"/>
                <w:color w:val="auto"/>
              </w:rPr>
            </w:pPr>
          </w:p>
        </w:tc>
        <w:tc>
          <w:tcPr>
            <w:tcW w:w="1860" w:type="dxa"/>
            <w:vAlign w:val="bottom"/>
            <w:tcBorders>
              <w:bottom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60" w:type="dxa"/>
            <w:vAlign w:val="bottom"/>
            <w:vMerge w:val="restart"/>
          </w:tcPr>
          <w:p>
            <w:pPr>
              <w:jc w:val="center"/>
              <w:ind w:left="1306"/>
              <w:spacing w:after="0"/>
              <w:rPr>
                <w:sz w:val="20"/>
                <w:szCs w:val="20"/>
                <w:color w:val="auto"/>
              </w:rPr>
            </w:pPr>
            <w:r>
              <w:rPr>
                <w:rFonts w:ascii="Arial" w:cs="Arial" w:eastAsia="Arial" w:hAnsi="Arial"/>
                <w:sz w:val="14"/>
                <w:szCs w:val="14"/>
                <w:b w:val="1"/>
                <w:bCs w:val="1"/>
                <w:color w:val="auto"/>
                <w:w w:val="93"/>
              </w:rPr>
              <w:t>Proposed Maximum Aggregate</w:t>
            </w:r>
          </w:p>
        </w:tc>
        <w:tc>
          <w:tcPr>
            <w:tcW w:w="1860" w:type="dxa"/>
            <w:vAlign w:val="bottom"/>
          </w:tcPr>
          <w:p>
            <w:pPr>
              <w:jc w:val="center"/>
              <w:ind w:left="201"/>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43"/>
        </w:trPr>
        <w:tc>
          <w:tcPr>
            <w:tcW w:w="6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460" w:type="dxa"/>
            <w:vAlign w:val="bottom"/>
            <w:vMerge w:val="continue"/>
          </w:tcPr>
          <w:p>
            <w:pPr>
              <w:spacing w:after="0"/>
              <w:rPr>
                <w:sz w:val="3"/>
                <w:szCs w:val="3"/>
                <w:color w:val="auto"/>
              </w:rPr>
            </w:pPr>
          </w:p>
        </w:tc>
        <w:tc>
          <w:tcPr>
            <w:tcW w:w="1860" w:type="dxa"/>
            <w:vAlign w:val="bottom"/>
            <w:vMerge w:val="restart"/>
          </w:tcPr>
          <w:p>
            <w:pPr>
              <w:jc w:val="center"/>
              <w:ind w:left="181"/>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86"/>
        </w:trPr>
        <w:tc>
          <w:tcPr>
            <w:tcW w:w="6100" w:type="dxa"/>
            <w:vAlign w:val="bottom"/>
            <w:gridSpan w:val="3"/>
            <w:vMerge w:val="continue"/>
          </w:tcPr>
          <w:p>
            <w:pPr>
              <w:spacing w:after="0"/>
              <w:rPr>
                <w:sz w:val="16"/>
                <w:szCs w:val="16"/>
                <w:color w:val="auto"/>
              </w:rPr>
            </w:pPr>
          </w:p>
        </w:tc>
        <w:tc>
          <w:tcPr>
            <w:tcW w:w="3460" w:type="dxa"/>
            <w:vAlign w:val="bottom"/>
          </w:tcPr>
          <w:p>
            <w:pPr>
              <w:jc w:val="center"/>
              <w:ind w:left="1286"/>
              <w:spacing w:after="0"/>
              <w:rPr>
                <w:sz w:val="20"/>
                <w:szCs w:val="20"/>
                <w:color w:val="auto"/>
              </w:rPr>
            </w:pPr>
            <w:r>
              <w:rPr>
                <w:rFonts w:ascii="Arial" w:cs="Arial" w:eastAsia="Arial" w:hAnsi="Arial"/>
                <w:sz w:val="14"/>
                <w:szCs w:val="14"/>
                <w:b w:val="1"/>
                <w:bCs w:val="1"/>
                <w:color w:val="auto"/>
                <w:w w:val="96"/>
              </w:rPr>
              <w:t>Offering Price (1)(2)</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100" w:type="dxa"/>
            <w:vAlign w:val="bottom"/>
            <w:tcBorders>
              <w:bottom w:val="single" w:sz="8" w:color="auto"/>
            </w:tcBorders>
            <w:gridSpan w:val="3"/>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100" w:type="dxa"/>
            <w:vAlign w:val="bottom"/>
            <w:gridSpan w:val="3"/>
          </w:tcPr>
          <w:p>
            <w:pPr>
              <w:ind w:left="40"/>
              <w:spacing w:after="0"/>
              <w:rPr>
                <w:sz w:val="20"/>
                <w:szCs w:val="20"/>
                <w:color w:val="auto"/>
              </w:rPr>
            </w:pPr>
            <w:r>
              <w:rPr>
                <w:rFonts w:ascii="Arial" w:cs="Arial" w:eastAsia="Arial" w:hAnsi="Arial"/>
                <w:sz w:val="14"/>
                <w:szCs w:val="14"/>
                <w:color w:val="auto"/>
              </w:rPr>
              <w:t>Common Stock, par value $0.01 per share</w:t>
            </w:r>
          </w:p>
        </w:tc>
        <w:tc>
          <w:tcPr>
            <w:tcW w:w="3460" w:type="dxa"/>
            <w:vAlign w:val="bottom"/>
          </w:tcPr>
          <w:p>
            <w:pPr>
              <w:jc w:val="center"/>
              <w:ind w:left="1286"/>
              <w:spacing w:after="0"/>
              <w:rPr>
                <w:sz w:val="20"/>
                <w:szCs w:val="20"/>
                <w:color w:val="auto"/>
              </w:rPr>
            </w:pPr>
            <w:r>
              <w:rPr>
                <w:rFonts w:ascii="Arial" w:cs="Arial" w:eastAsia="Arial" w:hAnsi="Arial"/>
                <w:sz w:val="14"/>
                <w:szCs w:val="14"/>
                <w:color w:val="auto"/>
                <w:w w:val="91"/>
              </w:rPr>
              <w:t>$115,000,000</w:t>
            </w:r>
          </w:p>
        </w:tc>
        <w:tc>
          <w:tcPr>
            <w:tcW w:w="1860" w:type="dxa"/>
            <w:vAlign w:val="bottom"/>
          </w:tcPr>
          <w:p>
            <w:pPr>
              <w:jc w:val="center"/>
              <w:ind w:left="181"/>
              <w:spacing w:after="0"/>
              <w:rPr>
                <w:sz w:val="20"/>
                <w:szCs w:val="20"/>
                <w:color w:val="auto"/>
              </w:rPr>
            </w:pPr>
            <w:r>
              <w:rPr>
                <w:rFonts w:ascii="Arial" w:cs="Arial" w:eastAsia="Arial" w:hAnsi="Arial"/>
                <w:sz w:val="14"/>
                <w:szCs w:val="14"/>
                <w:color w:val="auto"/>
                <w:w w:val="94"/>
              </w:rPr>
              <w:t>$15,686</w:t>
            </w:r>
          </w:p>
        </w:tc>
        <w:tc>
          <w:tcPr>
            <w:tcW w:w="0" w:type="dxa"/>
            <w:vAlign w:val="bottom"/>
          </w:tcPr>
          <w:p>
            <w:pPr>
              <w:spacing w:after="0"/>
              <w:rPr>
                <w:sz w:val="1"/>
                <w:szCs w:val="1"/>
                <w:color w:val="auto"/>
              </w:rPr>
            </w:pPr>
          </w:p>
        </w:tc>
      </w:tr>
      <w:tr>
        <w:trPr>
          <w:trHeight w:val="66"/>
        </w:trPr>
        <w:tc>
          <w:tcPr>
            <w:tcW w:w="1900" w:type="dxa"/>
            <w:vAlign w:val="bottom"/>
            <w:tcBorders>
              <w:bottom w:val="single" w:sz="8" w:color="00000A"/>
            </w:tcBorders>
          </w:tcPr>
          <w:p>
            <w:pPr>
              <w:spacing w:after="0"/>
              <w:rPr>
                <w:sz w:val="5"/>
                <w:szCs w:val="5"/>
                <w:color w:val="auto"/>
              </w:rPr>
            </w:pPr>
          </w:p>
        </w:tc>
        <w:tc>
          <w:tcPr>
            <w:tcW w:w="2560" w:type="dxa"/>
            <w:vAlign w:val="bottom"/>
            <w:tcBorders>
              <w:bottom w:val="single" w:sz="8" w:color="00000A"/>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00" w:type="dxa"/>
            <w:vAlign w:val="bottom"/>
            <w:tcBorders>
              <w:bottom w:val="single" w:sz="8" w:color="00000A"/>
            </w:tcBorders>
          </w:tcPr>
          <w:p>
            <w:pPr>
              <w:spacing w:after="0" w:line="20" w:lineRule="exact"/>
              <w:rPr>
                <w:sz w:val="1"/>
                <w:szCs w:val="1"/>
                <w:color w:val="auto"/>
              </w:rPr>
            </w:pPr>
          </w:p>
        </w:tc>
        <w:tc>
          <w:tcPr>
            <w:tcW w:w="2560" w:type="dxa"/>
            <w:vAlign w:val="bottom"/>
            <w:tcBorders>
              <w:bottom w:val="single" w:sz="8" w:color="00000A"/>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4"/>
          <w:szCs w:val="24"/>
          <w:color w:val="auto"/>
        </w:rPr>
      </w:pPr>
    </w:p>
    <w:p>
      <w:pPr>
        <w:ind w:left="380" w:hanging="345"/>
        <w:spacing w:after="0"/>
        <w:tabs>
          <w:tab w:leader="none" w:pos="380" w:val="left"/>
        </w:tabs>
        <w:numPr>
          <w:ilvl w:val="0"/>
          <w:numId w:val="1"/>
        </w:numPr>
        <w:rPr>
          <w:rFonts w:ascii="Arial" w:cs="Arial" w:eastAsia="Arial" w:hAnsi="Arial"/>
          <w:sz w:val="31"/>
          <w:szCs w:val="31"/>
          <w:color w:val="auto"/>
          <w:vertAlign w:val="superscript"/>
        </w:rPr>
      </w:pPr>
      <w:r>
        <w:rPr>
          <w:rFonts w:ascii="Arial" w:cs="Arial" w:eastAsia="Arial" w:hAnsi="Arial"/>
          <w:sz w:val="15"/>
          <w:szCs w:val="15"/>
          <w:color w:val="auto"/>
        </w:rPr>
        <w:t>Includes shares of common stock that may be sold to cover the exercise of an option to purchase additional shares granted to the underwriters.</w:t>
      </w:r>
    </w:p>
    <w:p>
      <w:pPr>
        <w:spacing w:after="0" w:line="87" w:lineRule="exact"/>
        <w:rPr>
          <w:rFonts w:ascii="Arial" w:cs="Arial" w:eastAsia="Arial" w:hAnsi="Arial"/>
          <w:sz w:val="31"/>
          <w:szCs w:val="31"/>
          <w:color w:val="auto"/>
          <w:vertAlign w:val="superscript"/>
        </w:rPr>
      </w:pPr>
    </w:p>
    <w:p>
      <w:pPr>
        <w:ind w:left="380" w:hanging="345"/>
        <w:spacing w:after="0" w:line="181" w:lineRule="auto"/>
        <w:tabs>
          <w:tab w:leader="none" w:pos="380" w:val="left"/>
        </w:tabs>
        <w:numPr>
          <w:ilvl w:val="0"/>
          <w:numId w:val="1"/>
        </w:numPr>
        <w:rPr>
          <w:rFonts w:ascii="Arial" w:cs="Arial" w:eastAsia="Arial" w:hAnsi="Arial"/>
          <w:sz w:val="21"/>
          <w:szCs w:val="21"/>
          <w:color w:val="auto"/>
          <w:vertAlign w:val="superscript"/>
        </w:rPr>
      </w:pPr>
      <w:r>
        <w:rPr>
          <w:rFonts w:ascii="Arial" w:cs="Arial" w:eastAsia="Arial" w:hAnsi="Arial"/>
          <w:sz w:val="12"/>
          <w:szCs w:val="12"/>
          <w:color w:val="auto"/>
        </w:rPr>
        <w:t>Estimated solely for the purpose of calculating the registration fee pursuant to Rule 457(o).</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3" w:lineRule="exact"/>
        <w:rPr>
          <w:sz w:val="20"/>
          <w:szCs w:val="20"/>
          <w:color w:val="auto"/>
        </w:rPr>
      </w:pPr>
    </w:p>
    <w:p>
      <w:pPr>
        <w:ind w:left="120" w:firstLine="297"/>
        <w:spacing w:after="0" w:line="24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EF3E42"/>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3E42"/>
        </w:rPr>
        <w:t>SUBJECT TO COMPLETION, DATED APRIL 10,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PROSPECTUS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99695</wp:posOffset>
            </wp:positionV>
            <wp:extent cx="2040890" cy="1003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89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Diamondback Energy,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Shares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90805</wp:posOffset>
            </wp:positionV>
            <wp:extent cx="1269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offering shares of our common stock.</w:t>
      </w:r>
    </w:p>
    <w:p>
      <w:pPr>
        <w:spacing w:after="0" w:line="171" w:lineRule="exact"/>
        <w:rPr>
          <w:sz w:val="20"/>
          <w:szCs w:val="20"/>
          <w:color w:val="auto"/>
        </w:rPr>
      </w:pPr>
    </w:p>
    <w:p>
      <w:pPr>
        <w:jc w:val="both"/>
        <w:ind w:left="120" w:firstLine="351"/>
        <w:spacing w:after="0" w:line="235" w:lineRule="auto"/>
        <w:rPr>
          <w:sz w:val="20"/>
          <w:szCs w:val="20"/>
          <w:color w:val="auto"/>
        </w:rPr>
      </w:pPr>
      <w:r>
        <w:rPr>
          <w:rFonts w:ascii="Arial" w:cs="Arial" w:eastAsia="Arial" w:hAnsi="Arial"/>
          <w:sz w:val="18"/>
          <w:szCs w:val="18"/>
          <w:color w:val="auto"/>
        </w:rPr>
        <w:t>Our common stock is listed on the NASDAQ Global Select Market under the symbol “FANG.” The last reported sales price of our common stock on the NASDAQ Global Select Market on April 9, 2013 was $26.76 per share.</w:t>
      </w:r>
    </w:p>
    <w:p>
      <w:pPr>
        <w:spacing w:after="0" w:line="189" w:lineRule="exact"/>
        <w:rPr>
          <w:sz w:val="20"/>
          <w:szCs w:val="20"/>
          <w:color w:val="auto"/>
        </w:rPr>
      </w:pPr>
    </w:p>
    <w:p>
      <w:pPr>
        <w:jc w:val="both"/>
        <w:ind w:left="120" w:firstLine="351"/>
        <w:spacing w:after="0" w:line="235" w:lineRule="auto"/>
        <w:rPr>
          <w:sz w:val="20"/>
          <w:szCs w:val="20"/>
          <w:color w:val="auto"/>
        </w:rPr>
      </w:pPr>
      <w:r>
        <w:rPr>
          <w:rFonts w:ascii="Arial" w:cs="Arial" w:eastAsia="Arial" w:hAnsi="Arial"/>
          <w:sz w:val="18"/>
          <w:szCs w:val="18"/>
          <w:color w:val="auto"/>
        </w:rPr>
        <w:t>We have granted the underwriters an option to purchase up to additional shares of our common stock at the public offering price less the underwriting discounts and commissions.</w:t>
      </w:r>
    </w:p>
    <w:p>
      <w:pPr>
        <w:spacing w:after="0" w:line="194" w:lineRule="exact"/>
        <w:rPr>
          <w:sz w:val="20"/>
          <w:szCs w:val="20"/>
          <w:color w:val="auto"/>
        </w:rPr>
      </w:pPr>
    </w:p>
    <w:p>
      <w:pPr>
        <w:jc w:val="both"/>
        <w:ind w:left="120" w:right="20" w:firstLine="351"/>
        <w:spacing w:after="0" w:line="23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are an “emerging growth company” under applicable Securities and Exchange Commission rules and are subject to reduced public company reporting requirements. Investing in our common stock involves risks. </w:t>
      </w:r>
      <w:hyperlink w:anchor="page16">
        <w:r>
          <w:rPr>
            <w:rFonts w:ascii="Arial" w:cs="Arial" w:eastAsia="Arial" w:hAnsi="Arial"/>
            <w:sz w:val="18"/>
            <w:szCs w:val="18"/>
            <w:b w:val="1"/>
            <w:bCs w:val="1"/>
            <w:u w:val="single" w:color="auto"/>
            <w:color w:val="0000FF"/>
          </w:rPr>
          <w:t>See “Risk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beginning on page 13.</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color w:val="auto"/>
              </w:rPr>
              <w:t>Underwriting Discounts and</w:t>
            </w:r>
          </w:p>
        </w:tc>
        <w:tc>
          <w:tcPr>
            <w:tcW w:w="1940" w:type="dxa"/>
            <w:vAlign w:val="bottom"/>
          </w:tcPr>
          <w:p>
            <w:pPr>
              <w:spacing w:after="0"/>
              <w:rPr>
                <w:sz w:val="14"/>
                <w:szCs w:val="14"/>
                <w:color w:val="auto"/>
              </w:rPr>
            </w:pPr>
          </w:p>
        </w:tc>
      </w:tr>
      <w:tr>
        <w:trPr>
          <w:trHeight w:val="189"/>
        </w:trPr>
        <w:tc>
          <w:tcPr>
            <w:tcW w:w="5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Price to Public</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08"/>
              <w:spacing w:after="0" w:line="189" w:lineRule="exact"/>
              <w:rPr>
                <w:sz w:val="20"/>
                <w:szCs w:val="20"/>
                <w:color w:val="auto"/>
              </w:rPr>
            </w:pPr>
            <w:r>
              <w:rPr>
                <w:rFonts w:ascii="Arial" w:cs="Arial" w:eastAsia="Arial" w:hAnsi="Arial"/>
                <w:sz w:val="14"/>
                <w:szCs w:val="14"/>
                <w:color w:val="auto"/>
                <w:w w:val="98"/>
              </w:rPr>
              <w:t xml:space="preserve">Commissions </w:t>
            </w:r>
            <w:r>
              <w:rPr>
                <w:rFonts w:ascii="Arial" w:cs="Arial" w:eastAsia="Arial" w:hAnsi="Arial"/>
                <w:sz w:val="17"/>
                <w:szCs w:val="17"/>
                <w:color w:val="auto"/>
                <w:w w:val="98"/>
                <w:vertAlign w:val="superscript"/>
              </w:rPr>
              <w:t>(1)</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Proceeds to Diamondback</w:t>
            </w: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Per Share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1748"/>
              <w:spacing w:after="0"/>
              <w:rPr>
                <w:sz w:val="20"/>
                <w:szCs w:val="20"/>
                <w:color w:val="auto"/>
              </w:rPr>
            </w:pPr>
            <w:r>
              <w:rPr>
                <w:rFonts w:ascii="Arial" w:cs="Arial" w:eastAsia="Arial" w:hAnsi="Arial"/>
                <w:sz w:val="14"/>
                <w:szCs w:val="14"/>
                <w:color w:val="auto"/>
              </w:rPr>
              <w:t>$</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jc w:val="right"/>
              <w:ind w:right="17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85" w:lineRule="exact"/>
        <w:rPr>
          <w:sz w:val="20"/>
          <w:szCs w:val="20"/>
          <w:color w:val="auto"/>
        </w:rPr>
      </w:pPr>
    </w:p>
    <w:p>
      <w:pPr>
        <w:ind w:left="500" w:hanging="42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w:t>
      </w:r>
      <w:r>
        <w:rPr>
          <w:rFonts w:ascii="Arial" w:cs="Arial" w:eastAsia="Arial" w:hAnsi="Arial"/>
          <w:sz w:val="18"/>
          <w:szCs w:val="18"/>
          <w:i w:val="1"/>
          <w:iCs w:val="1"/>
          <w:color w:val="auto"/>
        </w:rPr>
        <w:t>Underwriting</w:t>
      </w:r>
      <w:r>
        <w:rPr>
          <w:rFonts w:ascii="Arial" w:cs="Arial" w:eastAsia="Arial" w:hAnsi="Arial"/>
          <w:sz w:val="18"/>
          <w:szCs w:val="18"/>
          <w:color w:val="auto"/>
        </w:rPr>
        <w:t>” beginning on page 85 of this prospectus for additional information regarding underwriting compensation.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Delivery of the shares of common stock will be made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99" w:lineRule="exact"/>
        <w:rPr>
          <w:sz w:val="20"/>
          <w:szCs w:val="20"/>
          <w:color w:val="auto"/>
        </w:rPr>
      </w:pPr>
    </w:p>
    <w:p>
      <w:pPr>
        <w:ind w:left="120" w:firstLine="351"/>
        <w:spacing w:after="0" w:line="25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Credit Suisse</w:t>
      </w:r>
    </w:p>
    <w:p>
      <w:pPr>
        <w:spacing w:after="0" w:line="200" w:lineRule="exact"/>
        <w:rPr>
          <w:sz w:val="20"/>
          <w:szCs w:val="20"/>
          <w:color w:val="auto"/>
        </w:rPr>
      </w:pPr>
    </w:p>
    <w:p>
      <w:pPr>
        <w:spacing w:after="0" w:line="305" w:lineRule="exact"/>
        <w:rPr>
          <w:sz w:val="20"/>
          <w:szCs w:val="20"/>
          <w:color w:val="auto"/>
        </w:rPr>
      </w:pPr>
    </w:p>
    <w:tbl>
      <w:tblPr>
        <w:tblLayout w:type="fixed"/>
        <w:tblInd w:w="3860" w:type="dxa"/>
        <w:tblCellMar>
          <w:top w:w="0" w:type="dxa"/>
          <w:left w:w="0" w:type="dxa"/>
          <w:bottom w:w="0" w:type="dxa"/>
          <w:right w:w="0" w:type="dxa"/>
        </w:tblCellMar>
      </w:tblPr>
      <w:tr>
        <w:trPr>
          <w:trHeight w:val="217"/>
        </w:trPr>
        <w:tc>
          <w:tcPr>
            <w:tcW w:w="276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2013.</w:t>
            </w: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58"/>
        </w:trPr>
        <w:tc>
          <w:tcPr>
            <w:tcW w:w="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17"/>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Page</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540" w:type="dxa"/>
            <w:vAlign w:val="bottom"/>
            <w:gridSpan w:val="1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PROSPECTUS SUMMARY</w:t>
              </w:r>
            </w:hyperlink>
          </w:p>
        </w:tc>
        <w:tc>
          <w:tcPr>
            <w:tcW w:w="220" w:type="dxa"/>
            <w:vAlign w:val="bottom"/>
            <w:gridSpan w:val="3"/>
          </w:tcPr>
          <w:p>
            <w:pPr>
              <w:ind w:lef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FF"/>
              </w:rPr>
            </w:pPr>
            <w:hyperlink w:anchor="page76">
              <w:r>
                <w:rPr>
                  <w:rFonts w:ascii="Arial" w:cs="Arial" w:eastAsia="Arial" w:hAnsi="Arial"/>
                  <w:sz w:val="18"/>
                  <w:szCs w:val="18"/>
                  <w:color w:val="0000FF"/>
                </w:rPr>
                <w:t>PRINCIPAL STOCKHOLDERS</w:t>
              </w:r>
            </w:hyperlink>
          </w:p>
        </w:tc>
        <w:tc>
          <w:tcPr>
            <w:tcW w:w="200" w:type="dxa"/>
            <w:vAlign w:val="bottom"/>
            <w:gridSpan w:val="2"/>
          </w:tcPr>
          <w:p>
            <w:pPr>
              <w:ind w:left="20"/>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73</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80" w:type="dxa"/>
            <w:vAlign w:val="bottom"/>
            <w:gridSpan w:val="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2460" w:type="dxa"/>
            <w:vAlign w:val="bottom"/>
            <w:gridSpan w:val="7"/>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DESCRIPTION OF CAPITAL STOCK</w:t>
              </w:r>
            </w:hyperlink>
          </w:p>
        </w:tc>
        <w:tc>
          <w:tcPr>
            <w:tcW w:w="200" w:type="dxa"/>
            <w:vAlign w:val="bottom"/>
            <w:gridSpan w:val="2"/>
          </w:tcPr>
          <w:p>
            <w:pPr>
              <w:ind w:left="20"/>
              <w:spacing w:after="0"/>
              <w:rPr>
                <w:rFonts w:ascii="Arial" w:cs="Arial" w:eastAsia="Arial" w:hAnsi="Arial"/>
                <w:sz w:val="17"/>
                <w:szCs w:val="17"/>
                <w:color w:val="0000FF"/>
                <w:w w:val="73"/>
              </w:rPr>
            </w:pPr>
            <w:hyperlink w:anchor="page79">
              <w:r>
                <w:rPr>
                  <w:rFonts w:ascii="Arial" w:cs="Arial" w:eastAsia="Arial" w:hAnsi="Arial"/>
                  <w:sz w:val="17"/>
                  <w:szCs w:val="17"/>
                  <w:color w:val="0000FF"/>
                  <w:w w:val="73"/>
                </w:rPr>
                <w:t>76</w:t>
              </w:r>
            </w:hyperlink>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8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CAUTIONARY NOTE REGARDING FORWARD-</w:t>
              </w:r>
            </w:hyperlink>
          </w:p>
        </w:tc>
        <w:tc>
          <w:tcPr>
            <w:tcW w:w="7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00" w:type="dxa"/>
            <w:vAlign w:val="bottom"/>
            <w:gridSpan w:val="8"/>
          </w:tcPr>
          <w:p>
            <w:pPr>
              <w:spacing w:after="0" w:line="196" w:lineRule="exact"/>
              <w:rPr>
                <w:rFonts w:ascii="Arial" w:cs="Arial" w:eastAsia="Arial" w:hAnsi="Arial"/>
                <w:sz w:val="18"/>
                <w:szCs w:val="18"/>
                <w:color w:val="0000FF"/>
                <w:w w:val="95"/>
              </w:rPr>
            </w:pPr>
            <w:hyperlink w:anchor="page38">
              <w:r>
                <w:rPr>
                  <w:rFonts w:ascii="Arial" w:cs="Arial" w:eastAsia="Arial" w:hAnsi="Arial"/>
                  <w:sz w:val="18"/>
                  <w:szCs w:val="18"/>
                  <w:color w:val="0000FF"/>
                  <w:w w:val="95"/>
                </w:rPr>
                <w:t>LOOKING STATEMENTS</w:t>
              </w:r>
            </w:hyperlink>
          </w:p>
        </w:tc>
        <w:tc>
          <w:tcPr>
            <w:tcW w:w="2540" w:type="dxa"/>
            <w:vAlign w:val="bottom"/>
            <w:gridSpan w:val="8"/>
          </w:tcPr>
          <w:p>
            <w:pPr>
              <w:spacing w:after="0"/>
              <w:rPr>
                <w:sz w:val="17"/>
                <w:szCs w:val="17"/>
                <w:color w:val="auto"/>
              </w:rPr>
            </w:pPr>
          </w:p>
        </w:tc>
        <w:tc>
          <w:tcPr>
            <w:tcW w:w="580" w:type="dxa"/>
            <w:vAlign w:val="bottom"/>
            <w:gridSpan w:val="4"/>
          </w:tcPr>
          <w:p>
            <w:pPr>
              <w:ind w:left="40"/>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116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FF"/>
              </w:rPr>
            </w:pPr>
            <w:hyperlink w:anchor="page82">
              <w:r>
                <w:rPr>
                  <w:rFonts w:ascii="Arial" w:cs="Arial" w:eastAsia="Arial" w:hAnsi="Arial"/>
                  <w:sz w:val="18"/>
                  <w:szCs w:val="18"/>
                  <w:color w:val="0000FF"/>
                </w:rPr>
                <w:t>SHARES ELIGIBLE FOR FUTURE SALE</w:t>
              </w:r>
            </w:hyperlink>
          </w:p>
        </w:tc>
        <w:tc>
          <w:tcPr>
            <w:tcW w:w="200" w:type="dxa"/>
            <w:vAlign w:val="bottom"/>
            <w:gridSpan w:val="2"/>
          </w:tcPr>
          <w:p>
            <w:pPr>
              <w:ind w:left="20"/>
              <w:spacing w:after="0"/>
              <w:rPr>
                <w:rFonts w:ascii="Arial" w:cs="Arial" w:eastAsia="Arial" w:hAnsi="Arial"/>
                <w:sz w:val="17"/>
                <w:szCs w:val="17"/>
                <w:color w:val="0000FF"/>
                <w:w w:val="73"/>
              </w:rPr>
            </w:pPr>
            <w:hyperlink w:anchor="page82">
              <w:r>
                <w:rPr>
                  <w:rFonts w:ascii="Arial" w:cs="Arial" w:eastAsia="Arial" w:hAnsi="Arial"/>
                  <w:sz w:val="17"/>
                  <w:szCs w:val="17"/>
                  <w:color w:val="0000FF"/>
                  <w:w w:val="73"/>
                </w:rPr>
                <w:t>79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0" w:type="dxa"/>
            <w:vAlign w:val="bottom"/>
            <w:tcBorders>
              <w:bottom w:val="single" w:sz="8" w:color="0000FF"/>
            </w:tcBorders>
            <w:gridSpan w:val="13"/>
          </w:tcPr>
          <w:p>
            <w:pPr>
              <w:spacing w:after="0"/>
              <w:rPr>
                <w:rFonts w:ascii="Arial" w:cs="Arial" w:eastAsia="Arial" w:hAnsi="Arial"/>
                <w:sz w:val="18"/>
                <w:szCs w:val="18"/>
                <w:color w:val="0000FF"/>
                <w:w w:val="96"/>
              </w:rPr>
            </w:pPr>
            <w:hyperlink w:anchor="page84">
              <w:r>
                <w:rPr>
                  <w:rFonts w:ascii="Arial" w:cs="Arial" w:eastAsia="Arial" w:hAnsi="Arial"/>
                  <w:sz w:val="18"/>
                  <w:szCs w:val="18"/>
                  <w:color w:val="0000FF"/>
                  <w:w w:val="96"/>
                </w:rPr>
                <w:t>MATERIAL U.S. FEDERAL INCOME AND ESTATE TAX</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USE OF PROCEEDS</w:t>
              </w:r>
            </w:hyperlink>
          </w:p>
        </w:tc>
        <w:tc>
          <w:tcPr>
            <w:tcW w:w="2980" w:type="dxa"/>
            <w:vAlign w:val="bottom"/>
            <w:gridSpan w:val="9"/>
          </w:tcPr>
          <w:p>
            <w:pPr>
              <w:spacing w:after="0"/>
              <w:rPr>
                <w:sz w:val="17"/>
                <w:szCs w:val="17"/>
                <w:color w:val="auto"/>
              </w:rPr>
            </w:pPr>
          </w:p>
        </w:tc>
        <w:tc>
          <w:tcPr>
            <w:tcW w:w="580" w:type="dxa"/>
            <w:vAlign w:val="bottom"/>
            <w:gridSpan w:val="4"/>
          </w:tcPr>
          <w:p>
            <w:pPr>
              <w:ind w:left="40"/>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c>
          <w:tcPr>
            <w:tcW w:w="116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CONSIDERATIONS FOR NON-U.S. HOLDERS</w:t>
              </w:r>
            </w:hyperlink>
          </w:p>
        </w:tc>
        <w:tc>
          <w:tcPr>
            <w:tcW w:w="200" w:type="dxa"/>
            <w:vAlign w:val="bottom"/>
            <w:gridSpan w:val="2"/>
          </w:tcPr>
          <w:p>
            <w:pPr>
              <w:ind w:left="20"/>
              <w:spacing w:after="0"/>
              <w:rPr>
                <w:rFonts w:ascii="Arial" w:cs="Arial" w:eastAsia="Arial" w:hAnsi="Arial"/>
                <w:sz w:val="17"/>
                <w:szCs w:val="17"/>
                <w:color w:val="0000FF"/>
                <w:w w:val="73"/>
              </w:rPr>
            </w:pPr>
            <w:hyperlink w:anchor="page84">
              <w:r>
                <w:rPr>
                  <w:rFonts w:ascii="Arial" w:cs="Arial" w:eastAsia="Arial" w:hAnsi="Arial"/>
                  <w:sz w:val="17"/>
                  <w:szCs w:val="17"/>
                  <w:color w:val="0000FF"/>
                  <w:w w:val="73"/>
                </w:rPr>
                <w:t>81</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DIVIDEND POLICY</w:t>
              </w:r>
            </w:hyperlink>
          </w:p>
        </w:tc>
        <w:tc>
          <w:tcPr>
            <w:tcW w:w="2980" w:type="dxa"/>
            <w:vAlign w:val="bottom"/>
            <w:gridSpan w:val="9"/>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36</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UNDERWRITING</w:t>
              </w:r>
            </w:hyperlink>
          </w:p>
        </w:tc>
        <w:tc>
          <w:tcPr>
            <w:tcW w:w="200" w:type="dxa"/>
            <w:vAlign w:val="bottom"/>
            <w:gridSpan w:val="2"/>
          </w:tcPr>
          <w:p>
            <w:pPr>
              <w:ind w:left="20"/>
              <w:spacing w:after="0"/>
              <w:rPr>
                <w:rFonts w:ascii="Arial" w:cs="Arial" w:eastAsia="Arial" w:hAnsi="Arial"/>
                <w:sz w:val="17"/>
                <w:szCs w:val="17"/>
                <w:color w:val="0000FF"/>
                <w:w w:val="73"/>
              </w:rPr>
            </w:pPr>
            <w:hyperlink w:anchor="page88">
              <w:r>
                <w:rPr>
                  <w:rFonts w:ascii="Arial" w:cs="Arial" w:eastAsia="Arial" w:hAnsi="Arial"/>
                  <w:sz w:val="17"/>
                  <w:szCs w:val="17"/>
                  <w:color w:val="0000FF"/>
                  <w:w w:val="73"/>
                </w:rPr>
                <w:t>85</w:t>
              </w:r>
            </w:hyperlink>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CAPITALIZATION</w:t>
              </w:r>
            </w:hyperlink>
          </w:p>
        </w:tc>
        <w:tc>
          <w:tcPr>
            <w:tcW w:w="100" w:type="dxa"/>
            <w:vAlign w:val="bottom"/>
            <w:gridSpan w:val="2"/>
          </w:tcPr>
          <w:p>
            <w:pPr>
              <w:spacing w:after="0"/>
              <w:rPr>
                <w:sz w:val="21"/>
                <w:szCs w:val="21"/>
                <w:color w:val="auto"/>
              </w:rPr>
            </w:pPr>
          </w:p>
        </w:tc>
        <w:tc>
          <w:tcPr>
            <w:tcW w:w="2980" w:type="dxa"/>
            <w:vAlign w:val="bottom"/>
            <w:gridSpan w:val="9"/>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LEGAL MATTERS</w:t>
              </w:r>
            </w:hyperlink>
          </w:p>
        </w:tc>
        <w:tc>
          <w:tcPr>
            <w:tcW w:w="200" w:type="dxa"/>
            <w:vAlign w:val="bottom"/>
            <w:gridSpan w:val="2"/>
          </w:tcPr>
          <w:p>
            <w:pPr>
              <w:ind w:left="20"/>
              <w:spacing w:after="0"/>
              <w:rPr>
                <w:rFonts w:ascii="Arial" w:cs="Arial" w:eastAsia="Arial" w:hAnsi="Arial"/>
                <w:sz w:val="17"/>
                <w:szCs w:val="17"/>
                <w:color w:val="0000FF"/>
                <w:w w:val="73"/>
              </w:rPr>
            </w:pPr>
            <w:hyperlink w:anchor="page92">
              <w:r>
                <w:rPr>
                  <w:rFonts w:ascii="Arial" w:cs="Arial" w:eastAsia="Arial" w:hAnsi="Arial"/>
                  <w:sz w:val="17"/>
                  <w:szCs w:val="17"/>
                  <w:color w:val="0000FF"/>
                  <w:w w:val="73"/>
                </w:rPr>
                <w:t>89</w:t>
              </w:r>
            </w:hyperlink>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gridSpan w:val="11"/>
          </w:tcPr>
          <w:p>
            <w:pPr>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PRICE RANGE OF COMMON STOCK</w:t>
              </w:r>
            </w:hyperlink>
          </w:p>
        </w:tc>
        <w:tc>
          <w:tcPr>
            <w:tcW w:w="1580" w:type="dxa"/>
            <w:vAlign w:val="bottom"/>
            <w:gridSpan w:val="5"/>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EXPERTS</w:t>
              </w:r>
            </w:hyperlink>
          </w:p>
        </w:tc>
        <w:tc>
          <w:tcPr>
            <w:tcW w:w="200" w:type="dxa"/>
            <w:vAlign w:val="bottom"/>
            <w:gridSpan w:val="2"/>
          </w:tcPr>
          <w:p>
            <w:pPr>
              <w:ind w:left="20"/>
              <w:spacing w:after="0"/>
              <w:rPr>
                <w:rFonts w:ascii="Arial" w:cs="Arial" w:eastAsia="Arial" w:hAnsi="Arial"/>
                <w:sz w:val="17"/>
                <w:szCs w:val="17"/>
                <w:color w:val="0000FF"/>
                <w:w w:val="73"/>
              </w:rPr>
            </w:pPr>
            <w:hyperlink w:anchor="page93">
              <w:r>
                <w:rPr>
                  <w:rFonts w:ascii="Arial" w:cs="Arial" w:eastAsia="Arial" w:hAnsi="Arial"/>
                  <w:sz w:val="17"/>
                  <w:szCs w:val="17"/>
                  <w:color w:val="0000FF"/>
                  <w:w w:val="73"/>
                </w:rPr>
                <w:t>89</w:t>
              </w:r>
            </w:hyperlink>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gridSpan w:val="16"/>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SELECTED HISTORICAL COMBINED CONSOLIDATED</w:t>
              </w:r>
            </w:hyperlink>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480" w:type="dxa"/>
            <w:vAlign w:val="bottom"/>
            <w:tcBorders>
              <w:top w:val="single" w:sz="8" w:color="0000FF"/>
            </w:tcBorders>
            <w:gridSpan w:val="6"/>
          </w:tcPr>
          <w:p>
            <w:pPr>
              <w:spacing w:after="0" w:line="196"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FINANCIAL DATA</w:t>
              </w:r>
            </w:hyperlink>
          </w:p>
        </w:tc>
        <w:tc>
          <w:tcPr>
            <w:tcW w:w="2940" w:type="dxa"/>
            <w:vAlign w:val="bottom"/>
            <w:tcBorders>
              <w:top w:val="single" w:sz="8" w:color="0000FF"/>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4"/>
          </w:tcPr>
          <w:p>
            <w:pPr>
              <w:ind w:left="40"/>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c>
          <w:tcPr>
            <w:tcW w:w="116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WHERE YOU CAN FIND MORE INFORMATION</w:t>
              </w:r>
            </w:hyperlink>
          </w:p>
        </w:tc>
        <w:tc>
          <w:tcPr>
            <w:tcW w:w="200" w:type="dxa"/>
            <w:vAlign w:val="bottom"/>
            <w:gridSpan w:val="2"/>
          </w:tcPr>
          <w:p>
            <w:pPr>
              <w:ind w:left="20"/>
              <w:spacing w:after="0"/>
              <w:rPr>
                <w:rFonts w:ascii="Arial" w:cs="Arial" w:eastAsia="Arial" w:hAnsi="Arial"/>
                <w:sz w:val="17"/>
                <w:szCs w:val="17"/>
                <w:color w:val="0000FF"/>
                <w:w w:val="73"/>
              </w:rPr>
            </w:pPr>
            <w:hyperlink w:anchor="page93">
              <w:r>
                <w:rPr>
                  <w:rFonts w:ascii="Arial" w:cs="Arial" w:eastAsia="Arial" w:hAnsi="Arial"/>
                  <w:sz w:val="17"/>
                  <w:szCs w:val="17"/>
                  <w:color w:val="0000FF"/>
                  <w:w w:val="73"/>
                </w:rPr>
                <w:t>89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8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46">
              <w:r>
                <w:rPr>
                  <w:rFonts w:ascii="Arial" w:cs="Arial" w:eastAsia="Arial" w:hAnsi="Arial"/>
                  <w:sz w:val="18"/>
                  <w:szCs w:val="18"/>
                  <w:color w:val="0000FF"/>
                  <w:w w:val="96"/>
                </w:rPr>
                <w:t>UNAUDITED PRO FORMA CONDENSED</w:t>
              </w:r>
            </w:hyperlink>
          </w:p>
        </w:tc>
        <w:tc>
          <w:tcPr>
            <w:tcW w:w="126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4540" w:type="dxa"/>
            <w:vAlign w:val="bottom"/>
            <w:gridSpan w:val="16"/>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CONSOLIDATED FINANCIAL STATEMENT</w:t>
              </w:r>
            </w:hyperlink>
          </w:p>
        </w:tc>
        <w:tc>
          <w:tcPr>
            <w:tcW w:w="580" w:type="dxa"/>
            <w:vAlign w:val="bottom"/>
            <w:gridSpan w:val="4"/>
          </w:tcPr>
          <w:p>
            <w:pPr>
              <w:ind w:left="40"/>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116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INFORMATION INCORPORATED BY REFERENCE</w:t>
              </w:r>
            </w:hyperlink>
          </w:p>
        </w:tc>
        <w:tc>
          <w:tcPr>
            <w:tcW w:w="200" w:type="dxa"/>
            <w:vAlign w:val="bottom"/>
            <w:gridSpan w:val="2"/>
          </w:tcPr>
          <w:p>
            <w:pPr>
              <w:ind w:left="20"/>
              <w:spacing w:after="0"/>
              <w:rPr>
                <w:rFonts w:ascii="Arial" w:cs="Arial" w:eastAsia="Arial" w:hAnsi="Arial"/>
                <w:sz w:val="17"/>
                <w:szCs w:val="17"/>
                <w:color w:val="0000FF"/>
                <w:w w:val="73"/>
              </w:rPr>
            </w:pPr>
            <w:hyperlink w:anchor="page93">
              <w:r>
                <w:rPr>
                  <w:rFonts w:ascii="Arial" w:cs="Arial" w:eastAsia="Arial" w:hAnsi="Arial"/>
                  <w:sz w:val="17"/>
                  <w:szCs w:val="17"/>
                  <w:color w:val="0000FF"/>
                  <w:w w:val="73"/>
                </w:rPr>
                <w:t>89</w:t>
              </w:r>
            </w:hyperlink>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60" w:type="dxa"/>
            <w:vAlign w:val="bottom"/>
            <w:gridSpan w:val="1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BUSINESS</w:t>
              </w:r>
            </w:hyperlink>
          </w:p>
        </w:tc>
        <w:tc>
          <w:tcPr>
            <w:tcW w:w="1080" w:type="dxa"/>
            <w:vAlign w:val="bottom"/>
            <w:gridSpan w:val="3"/>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GLOSSARY OF OIL AND NATURAL GAS TERMS</w:t>
              </w:r>
            </w:hyperlink>
          </w:p>
        </w:tc>
        <w:tc>
          <w:tcPr>
            <w:tcW w:w="20" w:type="dxa"/>
            <w:vAlign w:val="bottom"/>
          </w:tcPr>
          <w:p>
            <w:pPr>
              <w:spacing w:after="0"/>
              <w:rPr>
                <w:sz w:val="21"/>
                <w:szCs w:val="21"/>
                <w:color w:val="auto"/>
              </w:rPr>
            </w:pPr>
          </w:p>
        </w:tc>
        <w:tc>
          <w:tcPr>
            <w:tcW w:w="54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A-1</w:t>
              </w:r>
            </w:hyperlink>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MANAGEMENT</w:t>
              </w:r>
            </w:hyperlink>
          </w:p>
        </w:tc>
        <w:tc>
          <w:tcPr>
            <w:tcW w:w="3240" w:type="dxa"/>
            <w:vAlign w:val="bottom"/>
            <w:gridSpan w:val="12"/>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69">
              <w:r>
                <w:rPr>
                  <w:rFonts w:ascii="Arial" w:cs="Arial" w:eastAsia="Arial" w:hAnsi="Arial"/>
                  <w:sz w:val="18"/>
                  <w:szCs w:val="18"/>
                  <w:color w:val="0000FF"/>
                </w:rPr>
                <w:t>66</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w w:val="96"/>
              </w:rPr>
            </w:pPr>
            <w:hyperlink w:anchor="page97">
              <w:r>
                <w:rPr>
                  <w:rFonts w:ascii="Arial" w:cs="Arial" w:eastAsia="Arial" w:hAnsi="Arial"/>
                  <w:sz w:val="18"/>
                  <w:szCs w:val="18"/>
                  <w:color w:val="0000FF"/>
                  <w:w w:val="96"/>
                </w:rPr>
                <w:t>RESERVE REPORT OF RYDER SCOTT COMPANY, L.P.</w:t>
              </w:r>
            </w:hyperlink>
          </w:p>
        </w:tc>
        <w:tc>
          <w:tcPr>
            <w:tcW w:w="20" w:type="dxa"/>
            <w:vAlign w:val="bottom"/>
          </w:tcPr>
          <w:p>
            <w:pPr>
              <w:spacing w:after="0"/>
              <w:rPr>
                <w:sz w:val="21"/>
                <w:szCs w:val="21"/>
                <w:color w:val="auto"/>
              </w:rPr>
            </w:pPr>
          </w:p>
        </w:tc>
        <w:tc>
          <w:tcPr>
            <w:tcW w:w="540" w:type="dxa"/>
            <w:vAlign w:val="bottom"/>
            <w:gridSpan w:val="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B-1</w:t>
              </w:r>
            </w:hyperlink>
          </w:p>
        </w:tc>
      </w:tr>
      <w:tr>
        <w:trPr>
          <w:trHeight w:val="20"/>
        </w:trPr>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FF"/>
                <w:w w:val="95"/>
              </w:rPr>
            </w:pPr>
            <w:hyperlink w:anchor="page72">
              <w:r>
                <w:rPr>
                  <w:rFonts w:ascii="Arial" w:cs="Arial" w:eastAsia="Arial" w:hAnsi="Arial"/>
                  <w:sz w:val="18"/>
                  <w:szCs w:val="18"/>
                  <w:color w:val="0000FF"/>
                  <w:w w:val="95"/>
                </w:rPr>
                <w:t>RELATED PARTY TRANSACTIONS</w:t>
              </w:r>
            </w:hyperlink>
          </w:p>
        </w:tc>
        <w:tc>
          <w:tcPr>
            <w:tcW w:w="1720" w:type="dxa"/>
            <w:vAlign w:val="bottom"/>
            <w:gridSpan w:val="6"/>
          </w:tcPr>
          <w:p>
            <w:pPr>
              <w:spacing w:after="0"/>
              <w:rPr>
                <w:sz w:val="21"/>
                <w:szCs w:val="21"/>
                <w:color w:val="auto"/>
              </w:rPr>
            </w:pPr>
          </w:p>
        </w:tc>
        <w:tc>
          <w:tcPr>
            <w:tcW w:w="580" w:type="dxa"/>
            <w:vAlign w:val="bottom"/>
            <w:gridSpan w:val="4"/>
          </w:tcPr>
          <w:p>
            <w:pPr>
              <w:ind w:left="40"/>
              <w:spacing w:after="0"/>
              <w:rPr>
                <w:rFonts w:ascii="Arial" w:cs="Arial" w:eastAsia="Arial" w:hAnsi="Arial"/>
                <w:sz w:val="18"/>
                <w:szCs w:val="18"/>
                <w:color w:val="0000FF"/>
              </w:rPr>
            </w:pPr>
            <w:hyperlink w:anchor="page72">
              <w:r>
                <w:rPr>
                  <w:rFonts w:ascii="Arial" w:cs="Arial" w:eastAsia="Arial" w:hAnsi="Arial"/>
                  <w:sz w:val="18"/>
                  <w:szCs w:val="18"/>
                  <w:color w:val="0000FF"/>
                </w:rPr>
                <w:t>69</w:t>
              </w:r>
            </w:hyperlink>
          </w:p>
        </w:tc>
        <w:tc>
          <w:tcPr>
            <w:tcW w:w="1160" w:type="dxa"/>
            <w:vAlign w:val="bottom"/>
          </w:tcPr>
          <w:p>
            <w:pPr>
              <w:spacing w:after="0"/>
              <w:rPr>
                <w:sz w:val="21"/>
                <w:szCs w:val="21"/>
                <w:color w:val="auto"/>
              </w:rPr>
            </w:pPr>
          </w:p>
        </w:tc>
        <w:tc>
          <w:tcPr>
            <w:tcW w:w="4540" w:type="dxa"/>
            <w:vAlign w:val="bottom"/>
            <w:gridSpan w:val="14"/>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INDEX TO FINANCIAL STATEMENTS</w:t>
              </w:r>
            </w:hyperlink>
          </w:p>
        </w:tc>
        <w:tc>
          <w:tcPr>
            <w:tcW w:w="20" w:type="dxa"/>
            <w:vAlign w:val="bottom"/>
          </w:tcPr>
          <w:p>
            <w:pPr>
              <w:spacing w:after="0"/>
              <w:rPr>
                <w:sz w:val="21"/>
                <w:szCs w:val="21"/>
                <w:color w:val="auto"/>
              </w:rPr>
            </w:pPr>
          </w:p>
        </w:tc>
        <w:tc>
          <w:tcPr>
            <w:tcW w:w="540" w:type="dxa"/>
            <w:vAlign w:val="bottom"/>
            <w:gridSpan w:val="3"/>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F-1</w:t>
              </w:r>
            </w:hyperlink>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197485</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and the underwriters have not, authorized any other person to provide you with information different from that contained in this prospectus. If anyone provides you with different or inconsistent information, you should not rely on it. You should read the entire prospectus, as well as the documents incorporated by reference herein that are described under “</w:t>
      </w:r>
      <w:r>
        <w:rPr>
          <w:rFonts w:ascii="Arial" w:cs="Arial" w:eastAsia="Arial" w:hAnsi="Arial"/>
          <w:sz w:val="16"/>
          <w:szCs w:val="16"/>
          <w:b w:val="1"/>
          <w:bCs w:val="1"/>
          <w:i w:val="1"/>
          <w:iCs w:val="1"/>
          <w:color w:val="auto"/>
        </w:rPr>
        <w:t>Where You Can Find More Information</w:t>
      </w:r>
      <w:r>
        <w:rPr>
          <w:rFonts w:ascii="Arial" w:cs="Arial" w:eastAsia="Arial" w:hAnsi="Arial"/>
          <w:sz w:val="16"/>
          <w:szCs w:val="16"/>
          <w:b w:val="1"/>
          <w:bCs w:val="1"/>
          <w:color w:val="auto"/>
        </w:rPr>
        <w:t>” and “</w:t>
      </w:r>
      <w:r>
        <w:rPr>
          <w:rFonts w:ascii="Arial" w:cs="Arial" w:eastAsia="Arial" w:hAnsi="Arial"/>
          <w:sz w:val="16"/>
          <w:szCs w:val="16"/>
          <w:b w:val="1"/>
          <w:bCs w:val="1"/>
          <w:i w:val="1"/>
          <w:iCs w:val="1"/>
          <w:color w:val="auto"/>
        </w:rPr>
        <w:t>Information Incorporated by Reference</w:t>
      </w:r>
      <w:r>
        <w:rPr>
          <w:rFonts w:ascii="Arial" w:cs="Arial" w:eastAsia="Arial" w:hAnsi="Arial"/>
          <w:sz w:val="16"/>
          <w:szCs w:val="16"/>
          <w:b w:val="1"/>
          <w:bCs w:val="1"/>
          <w:color w:val="auto"/>
        </w:rPr>
        <w:t>.” We and the underwriters are only offering to sell, and only seeking offers to buy, our common stock in jurisdictions where offers and sales are permitted.</w:t>
      </w:r>
    </w:p>
    <w:p>
      <w:pPr>
        <w:spacing w:after="0" w:line="1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The information contained in this prospectus or in any document incorporated in this prospectus is accurate and complete only as of the date hereof or thereof, respectively, regardless of the time of delivery of this prospectus or of any sale of our common stock by us or the underwriters. Our business, financial condition, results of operations and prospects may have changed since that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85"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2013 (25 days after the commencement of this offering), all dealers that effect transactions in these securities, whether or not</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includes industry data and forecasts that we obtained from internal company surveys, publicly available information and industry publications and surveys. Our internal research and forecasts are based on management’s understanding of industry conditions, and such information has not been verified by independent sources. Industry publications and surveys generally state that the information contained therein has been obtained from sources believed to be reliable.</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the context otherwise requires, the information in this prospectus assumes that the underwriters will not exercise their option to purchase additional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Diamondback Energy, Inc., or Diamondback, was incorporated in Delaware on December 30, 2011, and did not conduct any material business operations until October 11, 2012 when Diamondback merged with its parent entity, Diamondback Energy LLC, with Diamondback continuing as the surviving entity. Prior to the merger, Diamondback Energy LLC was a holding company and did not conduct any material business operations other than its ownership of Diamondback’s common stock and the membership interests in Diamondback O&amp;G LLC, or Diamondback O&amp;G (formerly known as Windsor Permian LLC, or Windsor Permian). As a result of the merger, Windsor Permian became a wholly-owned subsidiary of Diamondback. Also on October 11, 2012, Wexford Capital LP, or Wexford, our equity sponsor, caused all of the outstanding equity interests in Windsor UT LLC, or Windsor UT, to be contributed to Windsor Permian prior to the merger in a transaction we refer to as the “Windsor UT Contribution.” In this prospectus, the combined consolidated historical financial information, operational data and reserve information for Diamondback present the assets and liabilities of Diamondback and its subsidiaries, including Windsor UT, as if they were combined for all periods presented. Although the financial and other information is reported on a combined consolidated basis, such presentation is not necessarily indicative of the results that would have been obtained if Diamondback had owned and operated such subsidiaries from their inception. In this prospectus, we refer to Diamondback, together with its consolidated subsidiaries, as “we,” “us,” “our” or “the Company.” This prospectus includes certain terms commonly used in the oil and natural gas industry, which are defined elsewhere in this prospectus in the “Glossary of Oil and Natural Gas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began operations in December 2007 with our acquisition of 4,174 net acres with production at the time of acquisition of approximately 800 BOE/d from 34 gross (16.8 net) wells in the Permian Basin. Subsequently, we acquired approximately 47,429 additional net acres, which brought our total net acreage position in the Permian Basin to 51,603 net acres at December 31, 2012. We are the operator of approximately 99% of this acreage. As of December 31, 2012, we had drilled 193 gross (176 net) wells, and participated in an additional 18 gross (eight net) non-operated wells, in the Permian Basin. Of these 211 gross wells, 191 were completed as producing wells and 20 were in various stages of completion. In the aggregate, as of December 31, 2012, we held interests in 225 gross (201 net) producing wells in the Permian Basin.</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2012, our estimated proved oil and natural gas reserves were 40,210 MBOE based on a reserve report prepared by Ryder Scott Company L.P., or Ryder Scott, our independent reserve engineer. Of these reserves, approximately 29.5% are classified as proved developed producing, or PDP. Proved undeveloped, or PUD, reserves included in this estimate are from 306 vertical gross well locations on 40-acre spacing and four gross horizontal well locations. As of December 31, 2012, these proved reserves were approximately 65% oil, 21% natural gas liquids and 14% natural gas.</w:t>
      </w:r>
    </w:p>
    <w:p>
      <w:pPr>
        <w:spacing w:after="0" w:line="1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881 identified potential vertical drilling locations on 40-acre spacing based on our evaluation of applicable geologic and engineering data as of December 31, 2012, and we have an additional 1,118 identified potential vertical drilling locations based on 20-acre downspacing. We have also identified 739 potential horizontal drilling locations in multiple horizons on our acreage.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The gross estimated ultimate recoveries, or EURs, from our future PUD wells on 40-acre spacing, as estimated by Ryder Scott, range from 102 MBOE per well, consisting of 46 MBbls of oil, 151 MMcf of natural gas and 31 MBbls of natural gas liquids, to 158 MBOE per well, consisting of 112 MBbls of oil, 114 MMcf of natural gas and 27 MBbls of natural gas liquids, with an average EUR per well of 133 MBOE, consisting of 91 MBbls of oil, 101 MMcf of natural gas and 25 MBbls of natural gas liquids. We also intend to continue to refine our drilling pattern and completion techniques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an effort to increase our average EUR per well from vertical wells drilled on 40-acre spacing. We currently anticipate a reduction of approximately 20% in our EURs from vertical wells drilled on 20-acre spacing.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certain operating information of our properties. The information is as of December 31, 2012 except as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Estimated Net Proved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Identified Potential</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Reserves at</w:t>
            </w:r>
          </w:p>
        </w:tc>
        <w:tc>
          <w:tcPr>
            <w:tcW w:w="114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269"/>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Drilling Locations</w:t>
            </w:r>
            <w:r>
              <w:rPr>
                <w:rFonts w:ascii="Arial" w:cs="Arial" w:eastAsia="Arial" w:hAnsi="Arial"/>
                <w:sz w:val="8"/>
                <w:szCs w:val="8"/>
                <w:b w:val="1"/>
                <w:bCs w:val="1"/>
                <w:color w:val="auto"/>
              </w:rPr>
              <w:t>(1)</w:t>
            </w:r>
          </w:p>
        </w:tc>
        <w:tc>
          <w:tcPr>
            <w:tcW w:w="10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8"/>
              </w:rPr>
              <w:t>2013 Budget</w:t>
            </w:r>
          </w:p>
        </w:tc>
        <w:tc>
          <w:tcPr>
            <w:tcW w:w="10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1"/>
              </w:rPr>
              <w:t>December 31, 2012</w:t>
            </w:r>
          </w:p>
        </w:tc>
        <w:tc>
          <w:tcPr>
            <w:tcW w:w="220" w:type="dxa"/>
            <w:vAlign w:val="bottom"/>
          </w:tcPr>
          <w:p>
            <w:pPr>
              <w:spacing w:after="0"/>
              <w:rPr>
                <w:sz w:val="23"/>
                <w:szCs w:val="23"/>
                <w:color w:val="auto"/>
              </w:rPr>
            </w:pPr>
          </w:p>
        </w:tc>
        <w:tc>
          <w:tcPr>
            <w:tcW w:w="114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Daily</w:t>
            </w:r>
          </w:p>
        </w:tc>
        <w:tc>
          <w:tcPr>
            <w:tcW w:w="0" w:type="dxa"/>
            <w:vAlign w:val="bottom"/>
          </w:tcPr>
          <w:p>
            <w:pPr>
              <w:spacing w:after="0"/>
              <w:rPr>
                <w:sz w:val="1"/>
                <w:szCs w:val="1"/>
                <w:color w:val="auto"/>
              </w:rPr>
            </w:pPr>
          </w:p>
        </w:tc>
      </w:tr>
      <w:tr>
        <w:trPr>
          <w:trHeight w:val="265"/>
        </w:trPr>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Working</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Gross</w:t>
            </w: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Capex</w:t>
            </w:r>
          </w:p>
        </w:tc>
        <w:tc>
          <w:tcPr>
            <w:tcW w:w="940" w:type="dxa"/>
            <w:vAlign w:val="bottom"/>
          </w:tcPr>
          <w:p>
            <w:pPr>
              <w:spacing w:after="0"/>
              <w:rPr>
                <w:sz w:val="23"/>
                <w:szCs w:val="23"/>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14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Production</w:t>
            </w: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0"/>
              </w:rPr>
              <w:t>Acreage</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Wells</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Wells</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MBOE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Developed</w:t>
            </w:r>
          </w:p>
        </w:tc>
        <w:tc>
          <w:tcPr>
            <w:tcW w:w="2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(BOE/d)</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38"/>
        </w:trPr>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Permian</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51,603</w:t>
            </w:r>
          </w:p>
        </w:tc>
        <w:tc>
          <w:tcPr>
            <w:tcW w:w="10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1,620</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40,210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2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66"/>
        </w:trPr>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jc w:val="both"/>
        <w:ind w:left="340" w:hanging="332"/>
        <w:spacing w:after="0" w:line="29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Reflects 881 gross and (822 net) identified potential vertical drilling locations on 40-acre spacing, and 739 gross (570 net) identified potential horizontal drilling locations ranging in length from 4,500 feet to 9,500 feet in various horizons from the Clearfork to the Cline based on our evaluation of applicable geologic and engineering data. Some of these horizontal drilling locations require pooling acreage with other operators. We have an additional 1,118 gross (1,026 net) identified potential vertical drilling locations based on 20-acre downspacing. The drilling locations on which we actually drill wells will ultimately depend on the availability of capital, regulatory approvals, oil and natural gas prices, costs, actual drilling results and other factors.</w:t>
      </w: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70 gross (61 net) wells, of which 33 gross (29 net) wells are horizontal, for which we are or will be the operator and three gross (two net) non-operated wells, of which one gross (one net) well is a horizontal well.</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February 2013.</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using two horizontal drilling rigs as of March 31, 2013. Due to the success of our horizontal drilling program to date, we expect to add two additional horizontal drilling rigs during 2013 which will enable us to drill and complete more wells than we originally contemplated for our 2013 drilling program. As a result of our expected increase in our horizontal drilling activity, and assuming the additional wells we complete produce at rates similar to those of our existing wells, we currently anticipate that our full-year 2013 production will be at or above the high end of our previously announced production guidance, with expected production increases weighted towards the second half of 2013. Our ability to achieve our production guidance is forward-looking and subject to numerous assumptions and risks. See “</w:t>
      </w:r>
      <w:r>
        <w:rPr>
          <w:rFonts w:ascii="Arial" w:cs="Arial" w:eastAsia="Arial" w:hAnsi="Arial"/>
          <w:sz w:val="18"/>
          <w:szCs w:val="18"/>
          <w:i w:val="1"/>
          <w:iCs w:val="1"/>
          <w:color w:val="auto"/>
        </w:rPr>
        <w:t>Risk Factors–Drilling for and producing oil and natural gas are high-risk activities with many</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that may result in a total loss of investment and adversely affect our business, financial condition or results of operations</w:t>
      </w:r>
      <w:r>
        <w:rPr>
          <w:rFonts w:ascii="Arial" w:cs="Arial" w:eastAsia="Arial" w:hAnsi="Arial"/>
          <w:sz w:val="18"/>
          <w:szCs w:val="18"/>
          <w:color w:val="auto"/>
        </w:rPr>
        <w:t>” on page 25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221" w:lineRule="exact"/>
        <w:rPr>
          <w:sz w:val="20"/>
          <w:szCs w:val="20"/>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 production and reserves by developing our oil-rich resource base</w:t>
      </w:r>
      <w:r>
        <w:rPr>
          <w:rFonts w:ascii="Arial" w:cs="Arial" w:eastAsia="Arial" w:hAnsi="Arial"/>
          <w:sz w:val="18"/>
          <w:szCs w:val="18"/>
          <w:color w:val="auto"/>
        </w:rPr>
        <w:t>. We intend to actively drill and develop our acreage base in an effort</w:t>
      </w:r>
      <w:r>
        <w:rPr>
          <w:rFonts w:ascii="Arial" w:cs="Arial" w:eastAsia="Arial" w:hAnsi="Arial"/>
          <w:sz w:val="18"/>
          <w:szCs w:val="18"/>
          <w:b w:val="1"/>
          <w:bCs w:val="1"/>
          <w:color w:val="auto"/>
        </w:rPr>
        <w:t xml:space="preserve"> </w:t>
      </w:r>
      <w:r>
        <w:rPr>
          <w:rFonts w:ascii="Arial" w:cs="Arial" w:eastAsia="Arial" w:hAnsi="Arial"/>
          <w:sz w:val="18"/>
          <w:szCs w:val="18"/>
          <w:color w:val="auto"/>
        </w:rPr>
        <w:t>to maximize its value and resource potential. Through the conversion of our undeveloped reserves to developed reserves, we will seek to increase our production, reserves and cash flow while generating favorable returns on invested capital. As of December 31, 2012, we had 881 identified potential vertical drilling locations and 739 identified potential horizontal drilling locations on our acreage in the Permian Basin based on 40-acre spacing and an additional 1,118 vertical locations based on 20-acre downspacing. We were using two vertical drilling rigs as of March 31, 2013, although we currently intend to begin a one vertical rig drilling program in July 2013 as we increase our focus on horizontal wells.</w:t>
      </w:r>
    </w:p>
    <w:p>
      <w:pPr>
        <w:spacing w:after="0" w:line="189"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Focus on increasing hydrocarbon recovery through horizontal drilling and increased well density</w:t>
      </w:r>
      <w:r>
        <w:rPr>
          <w:rFonts w:ascii="Arial" w:cs="Arial" w:eastAsia="Arial" w:hAnsi="Arial"/>
          <w:sz w:val="16"/>
          <w:szCs w:val="16"/>
          <w:color w:val="auto"/>
        </w:rPr>
        <w:t>. We believe there are opportunities to</w:t>
      </w:r>
      <w:r>
        <w:rPr>
          <w:rFonts w:ascii="Arial" w:cs="Arial" w:eastAsia="Arial" w:hAnsi="Arial"/>
          <w:sz w:val="16"/>
          <w:szCs w:val="16"/>
          <w:b w:val="1"/>
          <w:bCs w:val="1"/>
          <w:color w:val="auto"/>
        </w:rPr>
        <w:t xml:space="preserve"> </w:t>
      </w:r>
      <w:r>
        <w:rPr>
          <w:rFonts w:ascii="Arial" w:cs="Arial" w:eastAsia="Arial" w:hAnsi="Arial"/>
          <w:sz w:val="16"/>
          <w:szCs w:val="16"/>
          <w:color w:val="auto"/>
        </w:rPr>
        <w:t>target various intervals in the Wolfberry play with horizontal wells. Our initial horizontal focus has been on the Wolfcamp B interval in Midland and Upton Counties. Our first two horizontal wells were completed in 2012 and had lateral lengths of less than 4,000 feet. Subsequently, we have drilled or are currently drilling nine horizontal wells as operator and have participated in one additional horizontal well as a non-operator, all of which are Wolfcamp B wells in various stages of development. These wells have had lateral lengths ranging from 3,733 feet to 7,652 feet. In the future, we expect that our optimal average lateral lengths will be in the range of 7,500 to 8,000 feet, although the actual length will vary depending on the layout of our acreage and other factors. We expect that longer lateral lengths will result in higher per well recoveries and lower development costs per BOE. During the first quarter of 2013, we were able to drill our horizontal wells with approximately 7,500 foot lateral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both"/>
        <w:ind w:left="980"/>
        <w:spacing w:after="0" w:line="302" w:lineRule="auto"/>
        <w:rPr>
          <w:sz w:val="20"/>
          <w:szCs w:val="20"/>
          <w:color w:val="auto"/>
        </w:rPr>
      </w:pPr>
      <w:r>
        <w:rPr>
          <w:rFonts w:ascii="Arial" w:cs="Arial" w:eastAsia="Arial" w:hAnsi="Arial"/>
          <w:sz w:val="18"/>
          <w:szCs w:val="18"/>
          <w:color w:val="auto"/>
        </w:rPr>
        <w:t>lengths to total depth in an average of 21 days. Our future horizontal drilling program is designed to further capture the upside potential that may exist 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 which could increase the recovery factor per section and enhance returns since infrastructure is typically in place. We were using two horizontal drilling rigs as of March 31, 2013, and currently intend to add a third horizontal rig in July 2013 and a fourth horizontal rig in the fourth quarter of 2013.</w:t>
      </w:r>
    </w:p>
    <w:p>
      <w:pPr>
        <w:spacing w:after="0" w:line="158" w:lineRule="exact"/>
        <w:rPr>
          <w:sz w:val="20"/>
          <w:szCs w:val="20"/>
          <w:color w:val="auto"/>
        </w:rPr>
      </w:pPr>
    </w:p>
    <w:p>
      <w:pPr>
        <w:jc w:val="both"/>
        <w:ind w:left="980" w:hanging="324"/>
        <w:spacing w:after="0" w:line="270"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Leverage our experience operating in the Permian Basin</w:t>
      </w:r>
      <w:r>
        <w:rPr>
          <w:rFonts w:ascii="Arial" w:cs="Arial" w:eastAsia="Arial" w:hAnsi="Arial"/>
          <w:sz w:val="17"/>
          <w:szCs w:val="17"/>
          <w:color w:val="auto"/>
        </w:rPr>
        <w:t>. Our executive team, which has an average of approximately 24 years of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per person and significant experience in the Permian Basin, intends to continue to seek ways to maximize hydrocarbon recovery by refining and enhancing our drilling and completion techniques. The time to reach total depth, or TD, for our vertical Wolfberry wells decreased from an average of 20 days during the second quarter of 2011 to an average of 14 days during the period from April 2012 through August 2012 to an average of 11 days during the fourth quarter of 2012. Our focus on efficient drilling and completion techniques, and the reduction in time to reach TD, is an important part of the continuous drilling program we have planned for our significant inventory of identified potential drilling locations. We believe that the experience of our executive team in deviated and horizontal drilling and completions should help reduce the execution risk normally associated with these complex well paths. In addition,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174" w:lineRule="exact"/>
        <w:rPr>
          <w:rFonts w:ascii="Arial" w:cs="Arial" w:eastAsia="Arial" w:hAnsi="Arial"/>
          <w:sz w:val="17"/>
          <w:szCs w:val="17"/>
          <w:color w:val="auto"/>
        </w:rPr>
      </w:pPr>
    </w:p>
    <w:p>
      <w:pPr>
        <w:jc w:val="both"/>
        <w:ind w:left="980" w:hanging="324"/>
        <w:spacing w:after="0" w:line="29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Enhance returns through our low cost development strategy of resource conversion, capital allocation and continued improvements in operational and cost efficiencies</w:t>
      </w:r>
      <w:r>
        <w:rPr>
          <w:rFonts w:ascii="Arial" w:cs="Arial" w:eastAsia="Arial" w:hAnsi="Arial"/>
          <w:sz w:val="16"/>
          <w:szCs w:val="16"/>
          <w:color w:val="auto"/>
        </w:rPr>
        <w:t>. In the current commodity price environment, our oil and liquids rich asset base provides attractive returns.</w:t>
      </w:r>
      <w:r>
        <w:rPr>
          <w:rFonts w:ascii="Arial" w:cs="Arial" w:eastAsia="Arial" w:hAnsi="Arial"/>
          <w:sz w:val="16"/>
          <w:szCs w:val="16"/>
          <w:b w:val="1"/>
          <w:bCs w:val="1"/>
          <w:color w:val="auto"/>
        </w:rPr>
        <w:t xml:space="preserve"> </w:t>
      </w:r>
      <w:r>
        <w:rPr>
          <w:rFonts w:ascii="Arial" w:cs="Arial" w:eastAsia="Arial" w:hAnsi="Arial"/>
          <w:sz w:val="16"/>
          <w:szCs w:val="16"/>
          <w:color w:val="auto"/>
        </w:rPr>
        <w:t>Our 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87% working interest in our acreage allows us to realize the majority of the benefits of these activities and cost efficiencies.</w:t>
      </w:r>
    </w:p>
    <w:p>
      <w:pPr>
        <w:spacing w:after="0" w:line="161" w:lineRule="exact"/>
        <w:rPr>
          <w:rFonts w:ascii="Arial" w:cs="Arial" w:eastAsia="Arial" w:hAnsi="Arial"/>
          <w:sz w:val="16"/>
          <w:szCs w:val="16"/>
          <w:color w:val="auto"/>
        </w:rPr>
      </w:pPr>
    </w:p>
    <w:p>
      <w:pPr>
        <w:jc w:val="both"/>
        <w:ind w:left="980" w:hanging="324"/>
        <w:spacing w:after="0" w:line="30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Pursue strategic acquisitions with exceptional resource potential</w:t>
      </w:r>
      <w:r>
        <w:rPr>
          <w:rFonts w:ascii="Arial" w:cs="Arial" w:eastAsia="Arial" w:hAnsi="Arial"/>
          <w:sz w:val="16"/>
          <w:szCs w:val="16"/>
          <w:color w:val="auto"/>
        </w:rPr>
        <w:t>. We have a proven history of acquiring leasehold positions in the Permian</w:t>
      </w:r>
      <w:r>
        <w:rPr>
          <w:rFonts w:ascii="Arial" w:cs="Arial" w:eastAsia="Arial" w:hAnsi="Arial"/>
          <w:sz w:val="16"/>
          <w:szCs w:val="16"/>
          <w:b w:val="1"/>
          <w:bCs w:val="1"/>
          <w:color w:val="auto"/>
        </w:rPr>
        <w:t xml:space="preserve"> </w:t>
      </w:r>
      <w:r>
        <w:rPr>
          <w:rFonts w:ascii="Arial" w:cs="Arial" w:eastAsia="Arial" w:hAnsi="Arial"/>
          <w:sz w:val="16"/>
          <w:szCs w:val="16"/>
          <w:color w:val="auto"/>
        </w:rPr>
        <w:t>Basin that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intend to continue to pursue acquisitions that meet our strategic and financial targets.</w:t>
      </w:r>
    </w:p>
    <w:p>
      <w:pPr>
        <w:spacing w:after="0" w:line="151" w:lineRule="exact"/>
        <w:rPr>
          <w:rFonts w:ascii="Arial" w:cs="Arial" w:eastAsia="Arial" w:hAnsi="Arial"/>
          <w:sz w:val="16"/>
          <w:szCs w:val="16"/>
          <w:color w:val="auto"/>
        </w:rPr>
      </w:pPr>
    </w:p>
    <w:p>
      <w:pPr>
        <w:jc w:val="both"/>
        <w:ind w:left="980" w:hanging="324"/>
        <w:spacing w:after="0" w:line="30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Maintain financial flexibility</w:t>
      </w:r>
      <w:r>
        <w:rPr>
          <w:rFonts w:ascii="Arial" w:cs="Arial" w:eastAsia="Arial" w:hAnsi="Arial"/>
          <w:sz w:val="16"/>
          <w:szCs w:val="16"/>
          <w:color w:val="auto"/>
        </w:rPr>
        <w:t>. We seek to maintain a conservative financial position. Upon completion of our initial public offering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2012, we used a portion of the net proceeds from the offering to repay the entire balance outstanding under our revolving credit facility. On December 28, 2012, the borrowing base under our revolving credit facility was redetermined, resulting in an increase in our availability to $135.0 million, of which the entire balance was fully available as of December 31, 2012 and $98.5 million was available as of March 31,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21" w:lineRule="exact"/>
        <w:rPr>
          <w:sz w:val="20"/>
          <w:szCs w:val="20"/>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Oil rich resource base in one of North America’s leading resource plays</w:t>
      </w:r>
      <w:r>
        <w:rPr>
          <w:rFonts w:ascii="Arial" w:cs="Arial" w:eastAsia="Arial" w:hAnsi="Arial"/>
          <w:sz w:val="18"/>
          <w:szCs w:val="18"/>
          <w:color w:val="auto"/>
        </w:rPr>
        <w:t>. 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for the year ended December 31, 2012 was approximately 70% oil, 17% natural gas liquids and 13% natural gas. As of December 31, 2012, our estimated net proved reserves were comprised of approximately 65% oil and 21% natural gas liquids, which allows us to benefit from the currently more favorable pricing of oil and natural gas liquids as compared to natural gas.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both"/>
        <w:ind w:left="980" w:hanging="324"/>
        <w:spacing w:after="0" w:line="28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Multi-year drilling inventory in one of North America’s leading oil resource plays</w:t>
      </w:r>
      <w:r>
        <w:rPr>
          <w:rFonts w:ascii="Arial" w:cs="Arial" w:eastAsia="Arial" w:hAnsi="Arial"/>
          <w:sz w:val="16"/>
          <w:szCs w:val="16"/>
          <w:color w:val="auto"/>
        </w:rPr>
        <w:t>. 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As of December 31, 2012, we had 881 identified potential vertical drilling locations based on 40-acre spacing and an additional 1,118 identified potential vertical drilling locations based on 20-acre downspacing. We also believe that there are a significant number of horizontal locations that could be drilled on our acreage. Based on our initial results and those of other operators in the area to date, combined with our interpretation of various geologic and engineering data, we have identified 739 potential horizontal locations on our acreage. These locations exist across most of our acreage blocks and in multiple horizons. Of the 739 locations, 355 are in the Wolfcamp A horizon or the Wolfcamp B horizon, with the remaining locations in either the Clearfork, Wolfcamp C or Cline horizons. We have not assigned any horizontal locations to the Spraberry interval but believe that it may also have development potential. Our current horizontal location count is based on 880 foot spacing between wells in the Wolfcamp B horizon in Midland and Upton Counties, and 1,320 foot spacing between wells in all other counties and horizons. The ultimate inter-well spacing may be less than these amounts, which would result in a higher location count. In addition, we have approximately 182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164" w:lineRule="exact"/>
        <w:rPr>
          <w:rFonts w:ascii="Arial" w:cs="Arial" w:eastAsia="Arial" w:hAnsi="Arial"/>
          <w:sz w:val="16"/>
          <w:szCs w:val="16"/>
          <w:color w:val="auto"/>
        </w:rPr>
      </w:pPr>
    </w:p>
    <w:p>
      <w:pPr>
        <w:jc w:val="both"/>
        <w:ind w:left="980" w:hanging="324"/>
        <w:spacing w:after="0" w:line="25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Experienced, incentivized and proven management team</w:t>
      </w:r>
      <w:r>
        <w:rPr>
          <w:rFonts w:ascii="Arial" w:cs="Arial" w:eastAsia="Arial" w:hAnsi="Arial"/>
          <w:sz w:val="18"/>
          <w:szCs w:val="18"/>
          <w:color w:val="auto"/>
        </w:rPr>
        <w:t>. Our executive team has an average of approximately 24 years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horizontal drilling activity. Prior to joining us, our Chief Executive Officer held management positions at Apache Corporation, Laredo Petroleum Holdings, Inc. and Burlington Resources.</w:t>
      </w:r>
    </w:p>
    <w:p>
      <w:pPr>
        <w:spacing w:after="0" w:line="187" w:lineRule="exact"/>
        <w:rPr>
          <w:rFonts w:ascii="Arial" w:cs="Arial" w:eastAsia="Arial" w:hAnsi="Arial"/>
          <w:sz w:val="18"/>
          <w:szCs w:val="18"/>
          <w:color w:val="auto"/>
        </w:rPr>
      </w:pPr>
    </w:p>
    <w:p>
      <w:pPr>
        <w:jc w:val="both"/>
        <w:ind w:left="980" w:hanging="324"/>
        <w:spacing w:after="0" w:line="303"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Favorable and stable operating environment</w:t>
      </w:r>
      <w:r>
        <w:rPr>
          <w:rFonts w:ascii="Arial" w:cs="Arial" w:eastAsia="Arial" w:hAnsi="Arial"/>
          <w:sz w:val="16"/>
          <w:szCs w:val="16"/>
          <w:color w:val="auto"/>
        </w:rPr>
        <w:t>. We have focused our drilling and development operations in the Permian Basin,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oldest 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151" w:lineRule="exact"/>
        <w:rPr>
          <w:rFonts w:ascii="Arial" w:cs="Arial" w:eastAsia="Arial" w:hAnsi="Arial"/>
          <w:sz w:val="16"/>
          <w:szCs w:val="16"/>
          <w:color w:val="auto"/>
        </w:rPr>
      </w:pPr>
    </w:p>
    <w:p>
      <w:pPr>
        <w:jc w:val="both"/>
        <w:ind w:left="980" w:hanging="324"/>
        <w:spacing w:after="0" w:line="29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High degree of operational control</w:t>
      </w:r>
      <w:r>
        <w:rPr>
          <w:rFonts w:ascii="Arial" w:cs="Arial" w:eastAsia="Arial" w:hAnsi="Arial"/>
          <w:sz w:val="16"/>
          <w:szCs w:val="16"/>
          <w:color w:val="auto"/>
        </w:rPr>
        <w:t>. We are the operator of approximately 99%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154" w:lineRule="exact"/>
        <w:rPr>
          <w:rFonts w:ascii="Arial" w:cs="Arial" w:eastAsia="Arial" w:hAnsi="Arial"/>
          <w:sz w:val="16"/>
          <w:szCs w:val="16"/>
          <w:color w:val="auto"/>
        </w:rPr>
      </w:pPr>
    </w:p>
    <w:p>
      <w:pPr>
        <w:jc w:val="both"/>
        <w:ind w:left="980" w:hanging="324"/>
        <w:spacing w:after="0" w:line="281"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Financial flexibility to fund expansion</w:t>
      </w:r>
      <w:r>
        <w:rPr>
          <w:rFonts w:ascii="Arial" w:cs="Arial" w:eastAsia="Arial" w:hAnsi="Arial"/>
          <w:sz w:val="17"/>
          <w:szCs w:val="17"/>
          <w:color w:val="auto"/>
        </w:rPr>
        <w:t>. We have a conservative balance sheet. We will seek to maintain financial flexibility to allow us to</w:t>
      </w:r>
      <w:r>
        <w:rPr>
          <w:rFonts w:ascii="Arial" w:cs="Arial" w:eastAsia="Arial" w:hAnsi="Arial"/>
          <w:sz w:val="17"/>
          <w:szCs w:val="17"/>
          <w:b w:val="1"/>
          <w:bCs w:val="1"/>
          <w:color w:val="auto"/>
        </w:rPr>
        <w:t xml:space="preserve"> </w:t>
      </w:r>
      <w:r>
        <w:rPr>
          <w:rFonts w:ascii="Arial" w:cs="Arial" w:eastAsia="Arial" w:hAnsi="Arial"/>
          <w:sz w:val="17"/>
          <w:szCs w:val="17"/>
          <w:color w:val="auto"/>
        </w:rPr>
        <w:t>actively develop our drilling, exploitation and exploration activities in the Wolfberry play and maximize the present value of our oil-weighted resource potential. As of March 31, 2013, we had $36.5 million outstanding borrowings under our revolving credit facility and available borrowing capacity of $98.5 million. We expect that our borrowing base will be increased as we increase our reserves.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2012, we began testing the horizontal well potential of our acreage. Our first horizontal well was the Janey 16H in Upton County with a 3,842 foot lateral in the Wolfcamp B interval. We are the operator of this well with a 100% working interest. It was completed in June 2012 and had a peak 24-hour initial production rate of 618 BOE/d and a peak consecutive 30-day average initial production rate of 486 BOE/d, of which 86% was oil. Through March 31, 2013, the Janey 16H had produced a total of 54 MBbls of oil and 66 MMcf of natural gas. Our second horizontal well was the Kemmer 4209H in Midland County. It is a non-operated well in which we own a 47% working interest. It was completed in September 2012 in the Wolfcamp B interval with a 3,733 foot lateral. The production as reported to us by the operator was a peak 24-hour initial production rate of 892 BOE/d and a peak consecutive 30-day average initial production rate of 712 BOE/d, of which 85% was oil. Through March 31, 2013, the Kemmer 4209H had produced a total of 53 MBbls of oil and 56 MMcf of natural gas. Based on the decline curve analysis of the current production, we anticipate that the EUR for each of these wells will be in the range of 400 to 500 MBOE.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the Janey 16H and Kemmer 4209H wells, we have drilled or are currently drilling nine horizontal wells as operator and have participated in one additional horizontal well as a non-operator, all of which are Wolfcamp B wells in various stages of development. The table below presents certain data regarding our horizontal wells.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Horizontal Wells: Midland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Peak</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Initial Production (“IP”)</w:t>
            </w:r>
          </w:p>
        </w:tc>
        <w:tc>
          <w:tcPr>
            <w:tcW w:w="102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460"/>
              <w:spacing w:after="0"/>
              <w:rPr>
                <w:sz w:val="20"/>
                <w:szCs w:val="20"/>
                <w:color w:val="auto"/>
              </w:rPr>
            </w:pPr>
            <w:r>
              <w:rPr>
                <w:rFonts w:ascii="Arial" w:cs="Arial" w:eastAsia="Arial" w:hAnsi="Arial"/>
                <w:sz w:val="18"/>
                <w:szCs w:val="18"/>
                <w:b w:val="1"/>
                <w:bCs w:val="1"/>
                <w:color w:val="auto"/>
              </w:rPr>
              <w:t>Lateral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24-HR IP</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Rate</w:t>
            </w:r>
          </w:p>
        </w:tc>
        <w:tc>
          <w:tcPr>
            <w:tcW w:w="1020" w:type="dxa"/>
            <w:vAlign w:val="bottom"/>
          </w:tcPr>
          <w:p>
            <w:pPr>
              <w:spacing w:after="0"/>
              <w:rPr>
                <w:sz w:val="23"/>
                <w:szCs w:val="23"/>
                <w:color w:val="auto"/>
              </w:rPr>
            </w:pPr>
          </w:p>
        </w:tc>
      </w:tr>
      <w:tr>
        <w:trPr>
          <w:trHeight w:val="29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Well Name</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Length</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Frac Stages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5"/>
              </w:rPr>
              <w:t>(BOE/d)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5"/>
              </w:rPr>
              <w:t>(BOE/d)</w:t>
            </w: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 Oil</w:t>
            </w:r>
            <w:r>
              <w:rPr>
                <w:rFonts w:ascii="Arial" w:cs="Arial" w:eastAsia="Arial" w:hAnsi="Arial"/>
                <w:sz w:val="25"/>
                <w:szCs w:val="25"/>
                <w:b w:val="1"/>
                <w:bCs w:val="1"/>
                <w:color w:val="auto"/>
                <w:w w:val="91"/>
                <w:vertAlign w:val="superscript"/>
              </w:rPr>
              <w:t>(a)</w:t>
            </w:r>
          </w:p>
        </w:tc>
      </w:tr>
      <w:tr>
        <w:trPr>
          <w:trHeight w:val="264"/>
        </w:trPr>
        <w:tc>
          <w:tcPr>
            <w:tcW w:w="32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Kemmer 4209H</w:t>
            </w:r>
            <w:r>
              <w:rPr>
                <w:rFonts w:ascii="Arial" w:cs="Arial" w:eastAsia="Arial" w:hAnsi="Arial"/>
                <w:sz w:val="25"/>
                <w:szCs w:val="25"/>
                <w:color w:val="auto"/>
                <w:vertAlign w:val="superscript"/>
              </w:rPr>
              <w:t>(b)</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3,733’</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15</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892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jc w:val="center"/>
              <w:ind w:right="250"/>
              <w:spacing w:after="0" w:line="264" w:lineRule="exact"/>
              <w:rPr>
                <w:sz w:val="20"/>
                <w:szCs w:val="20"/>
                <w:color w:val="auto"/>
              </w:rPr>
            </w:pPr>
            <w:r>
              <w:rPr>
                <w:rFonts w:ascii="Arial" w:cs="Arial" w:eastAsia="Arial" w:hAnsi="Arial"/>
                <w:sz w:val="18"/>
                <w:szCs w:val="18"/>
                <w:color w:val="auto"/>
                <w:w w:val="80"/>
              </w:rPr>
              <w:t>712</w:t>
            </w:r>
            <w:r>
              <w:rPr>
                <w:rFonts w:ascii="Arial" w:cs="Arial" w:eastAsia="Arial" w:hAnsi="Arial"/>
                <w:sz w:val="25"/>
                <w:szCs w:val="25"/>
                <w:color w:val="auto"/>
                <w:w w:val="80"/>
                <w:vertAlign w:val="superscript"/>
              </w:rPr>
              <w:t>(c)</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85%</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NW 2501H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4,451’</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19</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770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0"/>
              <w:spacing w:after="0" w:line="270" w:lineRule="exact"/>
              <w:rPr>
                <w:sz w:val="20"/>
                <w:szCs w:val="20"/>
                <w:color w:val="auto"/>
              </w:rPr>
            </w:pPr>
            <w:r>
              <w:rPr>
                <w:rFonts w:ascii="Arial" w:cs="Arial" w:eastAsia="Arial" w:hAnsi="Arial"/>
                <w:sz w:val="18"/>
                <w:szCs w:val="18"/>
                <w:color w:val="auto"/>
                <w:w w:val="79"/>
              </w:rPr>
              <w:t>574</w:t>
            </w:r>
            <w:r>
              <w:rPr>
                <w:rFonts w:ascii="Arial" w:cs="Arial" w:eastAsia="Arial" w:hAnsi="Arial"/>
                <w:sz w:val="25"/>
                <w:szCs w:val="25"/>
                <w:color w:val="auto"/>
                <w:w w:val="79"/>
                <w:vertAlign w:val="superscript"/>
              </w:rPr>
              <w:t>(d)</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 NW 2502H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4,351’</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16</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651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ind w:right="250"/>
              <w:spacing w:after="0" w:line="270" w:lineRule="exact"/>
              <w:rPr>
                <w:sz w:val="20"/>
                <w:szCs w:val="20"/>
                <w:color w:val="auto"/>
              </w:rPr>
            </w:pPr>
            <w:r>
              <w:rPr>
                <w:rFonts w:ascii="Arial" w:cs="Arial" w:eastAsia="Arial" w:hAnsi="Arial"/>
                <w:sz w:val="18"/>
                <w:szCs w:val="18"/>
                <w:color w:val="auto"/>
                <w:w w:val="79"/>
              </w:rPr>
              <w:t>544</w:t>
            </w:r>
            <w:r>
              <w:rPr>
                <w:rFonts w:ascii="Arial" w:cs="Arial" w:eastAsia="Arial" w:hAnsi="Arial"/>
                <w:sz w:val="25"/>
                <w:szCs w:val="25"/>
                <w:color w:val="auto"/>
                <w:w w:val="79"/>
                <w:vertAlign w:val="superscript"/>
              </w:rPr>
              <w:t>(e)</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70"/>
        </w:trPr>
        <w:tc>
          <w:tcPr>
            <w:tcW w:w="32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Sarah Ann 3812H</w:t>
            </w:r>
            <w:r>
              <w:rPr>
                <w:rFonts w:ascii="Arial" w:cs="Arial" w:eastAsia="Arial" w:hAnsi="Arial"/>
                <w:sz w:val="25"/>
                <w:szCs w:val="25"/>
                <w:color w:val="auto"/>
                <w:vertAlign w:val="superscript"/>
              </w:rPr>
              <w:t>(b)</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4,830’</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18</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892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0"/>
              <w:spacing w:after="0" w:line="270" w:lineRule="exact"/>
              <w:rPr>
                <w:sz w:val="20"/>
                <w:szCs w:val="20"/>
                <w:color w:val="auto"/>
              </w:rPr>
            </w:pPr>
            <w:r>
              <w:rPr>
                <w:rFonts w:ascii="Arial" w:cs="Arial" w:eastAsia="Arial" w:hAnsi="Arial"/>
                <w:sz w:val="18"/>
                <w:szCs w:val="18"/>
                <w:color w:val="auto"/>
                <w:w w:val="87"/>
              </w:rPr>
              <w:t>738</w:t>
            </w:r>
            <w:r>
              <w:rPr>
                <w:rFonts w:ascii="Arial" w:cs="Arial" w:eastAsia="Arial" w:hAnsi="Arial"/>
                <w:sz w:val="25"/>
                <w:szCs w:val="25"/>
                <w:color w:val="auto"/>
                <w:w w:val="87"/>
                <w:vertAlign w:val="superscript"/>
              </w:rPr>
              <w:t>(f)</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W 4301H</w:t>
            </w:r>
          </w:p>
        </w:tc>
        <w:tc>
          <w:tcPr>
            <w:tcW w:w="11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~7,250’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jc w:val="center"/>
              <w:ind w:right="270"/>
              <w:spacing w:after="0"/>
              <w:rPr>
                <w:sz w:val="20"/>
                <w:szCs w:val="20"/>
                <w:color w:val="auto"/>
              </w:rPr>
            </w:pPr>
            <w:r>
              <w:rPr>
                <w:rFonts w:ascii="Arial" w:cs="Arial" w:eastAsia="Arial" w:hAnsi="Arial"/>
                <w:sz w:val="18"/>
                <w:szCs w:val="18"/>
                <w:color w:val="auto"/>
                <w:w w:val="93"/>
              </w:rPr>
              <w:t>Well drilled; frac scheduled April 22, 2013</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W 701H</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140" w:type="dxa"/>
            <w:vAlign w:val="bottom"/>
            <w:gridSpan w:val="3"/>
          </w:tcPr>
          <w:p>
            <w:pPr>
              <w:jc w:val="center"/>
              <w:ind w:right="1310"/>
              <w:spacing w:after="0"/>
              <w:rPr>
                <w:sz w:val="20"/>
                <w:szCs w:val="20"/>
                <w:color w:val="auto"/>
              </w:rPr>
            </w:pPr>
            <w:r>
              <w:rPr>
                <w:rFonts w:ascii="Arial" w:cs="Arial" w:eastAsia="Arial" w:hAnsi="Arial"/>
                <w:sz w:val="18"/>
                <w:szCs w:val="18"/>
                <w:color w:val="auto"/>
                <w:w w:val="97"/>
              </w:rPr>
              <w:t>Currently drilling well</w:t>
            </w:r>
          </w:p>
        </w:tc>
        <w:tc>
          <w:tcPr>
            <w:tcW w:w="1020" w:type="dxa"/>
            <w:vAlign w:val="bottom"/>
          </w:tcPr>
          <w:p>
            <w:pPr>
              <w:spacing w:after="0"/>
              <w:rPr>
                <w:sz w:val="21"/>
                <w:szCs w:val="21"/>
                <w:color w:val="auto"/>
              </w:rPr>
            </w:pPr>
          </w:p>
        </w:tc>
      </w:tr>
      <w:tr>
        <w:trPr>
          <w:trHeight w:val="60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gridSpan w:val="6"/>
          </w:tcPr>
          <w:p>
            <w:pPr>
              <w:ind w:left="100"/>
              <w:spacing w:after="0"/>
              <w:rPr>
                <w:sz w:val="20"/>
                <w:szCs w:val="20"/>
                <w:color w:val="auto"/>
              </w:rPr>
            </w:pPr>
            <w:r>
              <w:rPr>
                <w:rFonts w:ascii="Arial" w:cs="Arial" w:eastAsia="Arial" w:hAnsi="Arial"/>
                <w:sz w:val="18"/>
                <w:szCs w:val="18"/>
                <w:b w:val="1"/>
                <w:bCs w:val="1"/>
                <w:color w:val="auto"/>
              </w:rPr>
              <w:t>Horizontal Wells: Upton County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Peak</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460"/>
              <w:spacing w:after="0"/>
              <w:rPr>
                <w:sz w:val="20"/>
                <w:szCs w:val="20"/>
                <w:color w:val="auto"/>
              </w:rPr>
            </w:pPr>
            <w:r>
              <w:rPr>
                <w:rFonts w:ascii="Arial" w:cs="Arial" w:eastAsia="Arial" w:hAnsi="Arial"/>
                <w:sz w:val="18"/>
                <w:szCs w:val="18"/>
                <w:b w:val="1"/>
                <w:bCs w:val="1"/>
                <w:color w:val="auto"/>
              </w:rPr>
              <w:t>Lateral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24-HR IP</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IP Rate</w:t>
            </w:r>
          </w:p>
        </w:tc>
        <w:tc>
          <w:tcPr>
            <w:tcW w:w="1020" w:type="dxa"/>
            <w:vAlign w:val="bottom"/>
          </w:tcPr>
          <w:p>
            <w:pPr>
              <w:spacing w:after="0"/>
              <w:rPr>
                <w:sz w:val="23"/>
                <w:szCs w:val="23"/>
                <w:color w:val="auto"/>
              </w:rPr>
            </w:pPr>
          </w:p>
        </w:tc>
      </w:tr>
      <w:tr>
        <w:trPr>
          <w:trHeight w:val="29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Well Name</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Length</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Frac Stages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5"/>
              </w:rPr>
              <w:t>(BOE/d)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5"/>
              </w:rPr>
              <w:t>(BOE/d)</w:t>
            </w: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 Oil</w:t>
            </w:r>
            <w:r>
              <w:rPr>
                <w:rFonts w:ascii="Arial" w:cs="Arial" w:eastAsia="Arial" w:hAnsi="Arial"/>
                <w:sz w:val="25"/>
                <w:szCs w:val="25"/>
                <w:b w:val="1"/>
                <w:bCs w:val="1"/>
                <w:color w:val="auto"/>
                <w:w w:val="91"/>
                <w:vertAlign w:val="superscript"/>
              </w:rPr>
              <w:t>(a)</w:t>
            </w:r>
          </w:p>
        </w:tc>
      </w:tr>
      <w:tr>
        <w:trPr>
          <w:trHeight w:val="26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Janey 16H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3,842’</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16</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618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jc w:val="center"/>
              <w:ind w:right="250"/>
              <w:spacing w:after="0" w:line="264" w:lineRule="exact"/>
              <w:rPr>
                <w:sz w:val="20"/>
                <w:szCs w:val="20"/>
                <w:color w:val="auto"/>
              </w:rPr>
            </w:pPr>
            <w:r>
              <w:rPr>
                <w:rFonts w:ascii="Arial" w:cs="Arial" w:eastAsia="Arial" w:hAnsi="Arial"/>
                <w:sz w:val="18"/>
                <w:szCs w:val="18"/>
                <w:color w:val="auto"/>
                <w:w w:val="80"/>
              </w:rPr>
              <w:t>486</w:t>
            </w:r>
            <w:r>
              <w:rPr>
                <w:rFonts w:ascii="Arial" w:cs="Arial" w:eastAsia="Arial" w:hAnsi="Arial"/>
                <w:sz w:val="25"/>
                <w:szCs w:val="25"/>
                <w:color w:val="auto"/>
                <w:w w:val="80"/>
                <w:vertAlign w:val="superscript"/>
              </w:rPr>
              <w:t>(c)</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86%</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Neal A Unit 8-1H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7,441’</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32</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0"/>
              <w:spacing w:after="0" w:line="270" w:lineRule="exact"/>
              <w:rPr>
                <w:sz w:val="20"/>
                <w:szCs w:val="20"/>
                <w:color w:val="auto"/>
              </w:rPr>
            </w:pPr>
            <w:r>
              <w:rPr>
                <w:rFonts w:ascii="Arial" w:cs="Arial" w:eastAsia="Arial" w:hAnsi="Arial"/>
                <w:sz w:val="18"/>
                <w:szCs w:val="18"/>
                <w:color w:val="auto"/>
                <w:w w:val="80"/>
              </w:rPr>
              <w:t>697</w:t>
            </w:r>
            <w:r>
              <w:rPr>
                <w:rFonts w:ascii="Arial" w:cs="Arial" w:eastAsia="Arial" w:hAnsi="Arial"/>
                <w:sz w:val="25"/>
                <w:szCs w:val="25"/>
                <w:color w:val="auto"/>
                <w:w w:val="80"/>
                <w:vertAlign w:val="superscript"/>
              </w:rPr>
              <w:t>(c)</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87%</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Janey 3H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4,441’</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19</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572</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ind w:right="250"/>
              <w:spacing w:after="0" w:line="270" w:lineRule="exact"/>
              <w:rPr>
                <w:sz w:val="20"/>
                <w:szCs w:val="20"/>
                <w:color w:val="auto"/>
              </w:rPr>
            </w:pPr>
            <w:r>
              <w:rPr>
                <w:rFonts w:ascii="Arial" w:cs="Arial" w:eastAsia="Arial" w:hAnsi="Arial"/>
                <w:sz w:val="18"/>
                <w:szCs w:val="18"/>
                <w:color w:val="auto"/>
                <w:w w:val="79"/>
              </w:rPr>
              <w:t>503</w:t>
            </w:r>
            <w:r>
              <w:rPr>
                <w:rFonts w:ascii="Arial" w:cs="Arial" w:eastAsia="Arial" w:hAnsi="Arial"/>
                <w:sz w:val="25"/>
                <w:szCs w:val="25"/>
                <w:color w:val="auto"/>
                <w:w w:val="79"/>
                <w:vertAlign w:val="superscript"/>
              </w:rPr>
              <w:t>(g)</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84%</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Neal B Unit 8-2H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6,501’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20" w:type="dxa"/>
            <w:vAlign w:val="bottom"/>
            <w:gridSpan w:val="5"/>
          </w:tcPr>
          <w:p>
            <w:pPr>
              <w:jc w:val="center"/>
              <w:ind w:right="130"/>
              <w:spacing w:after="0"/>
              <w:rPr>
                <w:sz w:val="20"/>
                <w:szCs w:val="20"/>
                <w:color w:val="auto"/>
              </w:rPr>
            </w:pPr>
            <w:r>
              <w:rPr>
                <w:rFonts w:ascii="Arial" w:cs="Arial" w:eastAsia="Arial" w:hAnsi="Arial"/>
                <w:sz w:val="18"/>
                <w:szCs w:val="18"/>
                <w:color w:val="auto"/>
                <w:w w:val="92"/>
              </w:rPr>
              <w:t>Well drilled; 26 stage frac completed, drilling out plugs</w:t>
            </w:r>
          </w:p>
        </w:tc>
        <w:tc>
          <w:tcPr>
            <w:tcW w:w="10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Kendra A Unit 1H</w:t>
            </w:r>
          </w:p>
        </w:tc>
        <w:tc>
          <w:tcPr>
            <w:tcW w:w="11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jc w:val="center"/>
              <w:ind w:right="250"/>
              <w:spacing w:after="0"/>
              <w:rPr>
                <w:sz w:val="20"/>
                <w:szCs w:val="20"/>
                <w:color w:val="auto"/>
              </w:rPr>
            </w:pPr>
            <w:r>
              <w:rPr>
                <w:rFonts w:ascii="Arial" w:cs="Arial" w:eastAsia="Arial" w:hAnsi="Arial"/>
                <w:sz w:val="18"/>
                <w:szCs w:val="18"/>
                <w:color w:val="auto"/>
                <w:w w:val="91"/>
              </w:rPr>
              <w:t>Well drilled; 30 stage frac in progress</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Jacee A Unit 1H</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80" w:type="dxa"/>
            <w:vAlign w:val="bottom"/>
            <w:gridSpan w:val="6"/>
          </w:tcPr>
          <w:p>
            <w:pPr>
              <w:jc w:val="center"/>
              <w:spacing w:after="0"/>
              <w:rPr>
                <w:sz w:val="20"/>
                <w:szCs w:val="20"/>
                <w:color w:val="auto"/>
              </w:rPr>
            </w:pPr>
            <w:r>
              <w:rPr>
                <w:rFonts w:ascii="Arial" w:cs="Arial" w:eastAsia="Arial" w:hAnsi="Arial"/>
                <w:sz w:val="18"/>
                <w:szCs w:val="18"/>
                <w:color w:val="auto"/>
                <w:w w:val="92"/>
              </w:rPr>
              <w:t>Currently drilling well; 28 stage frac scheduled May 1, 2013</w:t>
            </w: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445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90" w:lineRule="exact"/>
        <w:rPr>
          <w:sz w:val="20"/>
          <w:szCs w:val="20"/>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period for which the “IP Rate” is presented</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Non-operated</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consecutive 30-day average initial production rate on artificial lift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consecutive 20-day average initial production rate (flowing)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consecutive 13-day average initial production rate (flowing)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consecutive 23-day average initial production rate on artificial lift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consecutive 26-day average initial production rate on artificial lift through April 6, 2013</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production results from the wells in Midland and Upton Counties, along with geoscience and engineering data that we have gathered and analyzed, give us confidence that our acreage in Midland and Upton Counties is prospective in the Wolfcamp B interval.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Investing in our common stock involves risks that include the speculative nature of oil and natural gas exploration, competition, volatile oil and natural gas prices and other material factors. You should read carefully the section of this prospectus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13 for an explanation of these risks before investing in our common stock. In particular, the following considerations may offset our competitive strengths or have a negative effect on our strategy or operating activities, which could cause a decrease in the price of our common stock and a loss of all or part of your investment:</w:t>
      </w:r>
    </w:p>
    <w:p>
      <w:pPr>
        <w:spacing w:after="0" w:line="18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difficult to evaluate because of our limited operating history.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managing the growth of our business may adversely affect our financial condition and 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develop our undeveloped acreage could adversely affect our future cash flow and income.</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exploration and development operations require substantial capital that we may be unable to obtain, which could lead to a loss of properties and a decline in our reserves.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find, develop or acquire additional oil and natural gas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volatility of oil and natural gas prices due to factors beyond our control greatly affects our profitability.</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estimated reserves are based on many assumptions that may turn out to be inaccurate. Any material inaccuracies in these reserve estimates or underlying assumptions will materially affect the quantities and present values of our reserves.</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producing properties are located in the Permian Basin of West Texas, making us vulnerable to risks associated with a concentration of operations in a single geographic area. In addition, we have a large amount of proved reserves attributable to a small number of producing horizons within this area.</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several significant purchasers for the sale of most of our oil and natural gas production. The loss of one or more of these purchasers could limit our access to suitable markets for the oil and natural gas we produce.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subject to various governmental regulations which require compliance that can be burdensome and expensive.</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by us to comply with applicable environmental laws and regulations, including those relating to hydraulic fracturing, could result in governmental authorities taking actions that adversely affect our operations and financial condition.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subject to operational hazards for which we may not be adequately insured.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future acquisitions of properties or businesses could reduce our earnings and slow our growth.</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two largest stockholders control a significant percentage of our common stock and their interests may conflict with yours.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other considerations that could negatively affect us,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13 and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on page 35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Equity Sponsor</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were formed by our equity sponsor, Wexford Capital LP, or Wexford, which is a Greenwich, Connecticut-based SEC-registered investment advisor with approximately $4.9 billion under management as of December 31, 2012. Wexford has made public and private equity investments in many different sectors and has particular expertise in the energy and natural resources sector. Upon completion of this offering, assuming Wexford or its affiliates make no additional purchases of our common stock, Wexford will beneficially own approximately % of our common stock (approximately % if the underwriters’ option to purchase additional shares is exercised in full). As a result, Wexford will continue to be able to exercise significant control over all matters requiring stockholder approval, including the election of directors, changes to our organizational documents and significant corporate transactions. In connection with our initial public offering in October 2012, we entered into an advisory services agreement with Wexford under which Wexford provides us with financial and strategic advisory services related to our business. We are also party to certain other agreements with Wexford and its affiliates. For a description of the advisory services agreement and other agreements with Wexford and its affiliates, see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beginning on page 69 of this prospectus. Although our management believes that the terms of these related party agreements are reasonable, it is possible that we could have negotiated more favorable terms for such transactions with unrelated third parties. The existence of these related party agreements may give Wexford the ability to further influence and maintain control over many matters affecting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Diamondback was incorporated in Delaware on December 30, 2011, and did not conduct any material business operations until October 11, 2012 when Diamondback merged with its parent entity, Diamondback Energy LLC, with Diamondback continuing as the surviving entity. Prior to the merger, Diamondback Energy LLC was a holding company and did not conduct any material business operations other than its ownership of Diamondback’s common stock and the membership interests in Windsor Permian LLC, or Windsor Permian. As a result of the merger, Windsor Permian became a wholly-owned subsidiary of Diamondback. Also on October 11, 2012, Wexford, our equity sponsor, caused all of the outstanding equity interests in Windsor UT to be contributed to Windsor Permian prior to the merger in a transaction we refer to as the “Windsor UT Contribution.” The Windsor UT Contribution was treated as a combination of entities under common control with assets and liabilities transferred at their carrying amounts in a manner similar to a pooling of interests. The operations of Windsor Permian and Windsor UT, as limited liability companies,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were not subject to federal income taxes. On the date of the merger, a corresponding “first day” tax expense to net income from continuing operations was recorded to establish a net deferred tax liability for differences between the tax and book basis of Diamondback’s assets and liabilities. This charge was $54,142,000. We refer to the historical results of Windsor Permian and Windsor UT prior to October 11, 2012 as our “Predecessors.”</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after the merger on October 11, 2012, we acquired from Gulfport Energy Corporation, or Gulfport, all of Gulfport’s oil and natural gas interests in the Permian Basin, which we refer to as the “Gulfport properties,” in exchange for shares of our common stock and a promissory note, in a transaction we refer to as the “Gulfport transaction.” The Gulfport transaction was treated as a business combination accounted for under the acquisition method of accounting with the identifiable assets and liabilities recognized at fair value on the date of transfer. For more information regarding the Gulfport transaction, see “</w:t>
      </w:r>
      <w:r>
        <w:rPr>
          <w:rFonts w:ascii="Arial" w:cs="Arial" w:eastAsia="Arial" w:hAnsi="Arial"/>
          <w:sz w:val="18"/>
          <w:szCs w:val="18"/>
          <w:i w:val="1"/>
          <w:iCs w:val="1"/>
          <w:color w:val="auto"/>
        </w:rPr>
        <w:t>Related Party Transactions—Gulfport Transaction and Investor Rights Agreement</w:t>
      </w:r>
      <w:r>
        <w:rPr>
          <w:rFonts w:ascii="Arial" w:cs="Arial" w:eastAsia="Arial" w:hAnsi="Arial"/>
          <w:sz w:val="18"/>
          <w:szCs w:val="18"/>
          <w:color w:val="auto"/>
        </w:rPr>
        <w:t>” and “</w:t>
      </w:r>
      <w:r>
        <w:rPr>
          <w:rFonts w:ascii="Arial" w:cs="Arial" w:eastAsia="Arial" w:hAnsi="Arial"/>
          <w:sz w:val="18"/>
          <w:szCs w:val="18"/>
          <w:i w:val="1"/>
          <w:iCs w:val="1"/>
          <w:color w:val="auto"/>
        </w:rPr>
        <w:t>Shares Eligible for Future Sale—Registration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beginning on pages 69 and 80, respectively, of this prospectus.</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17, 2012, we completed our initial public offering, or IPO, of 14,375,000 shares of common stock, which included 1,875,000 shares of common stock issued pursuant to the over-allotment option exercised by the underwriters. The stock was priced at $17.50 per share and we received net proceeds of approximately $234.1 million from the sale of these shares of common stock, net of offering expenses and underwriting discounts and commissions.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are an “emerging growth company” within the meaning of the federal securities laws. For as long as we are an emerging growth company, we will not be required to comply with certain requirements that are applicable to other public companies that are not “emerging growth companies” including, but not limited to, not being required to comply with the auditor attestation requirements of Section 404 of the Sarbanes-Oxley Act, the reduced disclosure obligations regarding executive compensation in our periodic reports and proxy statements and the exemptions from the requirements of holding a nonbinding advisory vote on executive compensation and stockholder approval of any golden parachute payments not previously approved. We intend to take advantage of these reporting exemptions until we are no longer an emerging growth company. For a description of the qualifications and other requirements applicable to emerging growth companies and certain elections that we have made due to our status as an emerging growth company, see </w:t>
      </w:r>
      <w:r>
        <w:rPr>
          <w:rFonts w:ascii="Arial" w:cs="Arial" w:eastAsia="Arial" w:hAnsi="Arial"/>
          <w:sz w:val="16"/>
          <w:szCs w:val="16"/>
          <w:i w:val="1"/>
          <w:iCs w:val="1"/>
          <w:color w:val="auto"/>
        </w:rPr>
        <w:t>“Risk Factors—Risks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this Offering and our Common Stock—We are an ‘emerging growth company’ and we cannot be certain if the reduced disclosure requirements applicable to emerging growth companies will make our common stock less attractive to investors” </w:t>
      </w:r>
      <w:r>
        <w:rPr>
          <w:rFonts w:ascii="Arial" w:cs="Arial" w:eastAsia="Arial" w:hAnsi="Arial"/>
          <w:sz w:val="16"/>
          <w:szCs w:val="16"/>
          <w:color w:val="auto"/>
        </w:rPr>
        <w:t>on page 32 of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located at 500 West Texas, Suite 1225, Midland, Texas, and our telephone number at that address is (432) 221-7400. We also lease additional office space in Midland and in Oklahoma City, Oklahoma. Our website address is www.diamondbackenergy.com. Information contained on our website does not constitute part of this prospectus.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580"/>
          </w:cols>
          <w:pgMar w:left="240" w:top="125" w:right="10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offered by us</w:t>
      </w:r>
    </w:p>
    <w:p>
      <w:pPr>
        <w:spacing w:after="0" w:line="252" w:lineRule="exact"/>
        <w:rPr>
          <w:sz w:val="20"/>
          <w:szCs w:val="20"/>
          <w:color w:val="auto"/>
        </w:rPr>
      </w:pPr>
    </w:p>
    <w:p>
      <w:pPr>
        <w:ind w:left="40" w:right="940"/>
        <w:spacing w:after="0" w:line="308" w:lineRule="auto"/>
        <w:rPr>
          <w:sz w:val="20"/>
          <w:szCs w:val="20"/>
          <w:color w:val="auto"/>
        </w:rPr>
      </w:pPr>
      <w:r>
        <w:rPr>
          <w:rFonts w:ascii="Arial" w:cs="Arial" w:eastAsia="Arial" w:hAnsi="Arial"/>
          <w:sz w:val="17"/>
          <w:szCs w:val="17"/>
          <w:color w:val="auto"/>
        </w:rPr>
        <w:t>Common stock to be outstanding immediately after completion of this offering</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 policy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NASDAQ Global Select Market 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firstLine="735"/>
        <w:spacing w:after="0" w:line="277" w:lineRule="auto"/>
        <w:rPr>
          <w:sz w:val="20"/>
          <w:szCs w:val="20"/>
          <w:color w:val="auto"/>
        </w:rPr>
      </w:pPr>
      <w:r>
        <w:rPr>
          <w:rFonts w:ascii="Arial" w:cs="Arial" w:eastAsia="Arial" w:hAnsi="Arial"/>
          <w:sz w:val="18"/>
          <w:szCs w:val="18"/>
          <w:color w:val="auto"/>
        </w:rPr>
        <w:t>shares ( shares if the underwriters’ option to purchase additional shares is exercised in full)</w:t>
      </w:r>
    </w:p>
    <w:p>
      <w:pPr>
        <w:spacing w:after="0" w:line="197" w:lineRule="exact"/>
        <w:rPr>
          <w:sz w:val="20"/>
          <w:szCs w:val="20"/>
          <w:color w:val="auto"/>
        </w:rPr>
      </w:pPr>
    </w:p>
    <w:p>
      <w:pPr>
        <w:jc w:val="both"/>
        <w:ind w:firstLine="784"/>
        <w:spacing w:after="0" w:line="277" w:lineRule="auto"/>
        <w:rPr>
          <w:sz w:val="20"/>
          <w:szCs w:val="20"/>
          <w:color w:val="auto"/>
        </w:rPr>
      </w:pPr>
      <w:r>
        <w:rPr>
          <w:rFonts w:ascii="Arial" w:cs="Arial" w:eastAsia="Arial" w:hAnsi="Arial"/>
          <w:sz w:val="18"/>
          <w:szCs w:val="18"/>
          <w:color w:val="auto"/>
        </w:rPr>
        <w:t>shares ( shares if the underwriters’ option to purchase additional shares is exercised in full)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granted the underwriters a 30-day option to purchase up to an aggregate of additional shares of our common stock.</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to receive approximately $95.3 million of net proceeds from the sale of common stock, with an aggregate value of approximately $100.0 million in this offering, after deducting underwriting discounts and estimated offering expenses (or approximately $109.6 million if the underwriters’ option to purchase additional shares is exercised in full). Following the closing of this offering, we intend to use the net proceeds to repay in full all borrowings outstanding under our revolving credit facility, which as of March 31, 2013 were $36.5 million, and to fund a portion of our exploration and development activities and for general corporate purposes, which may include leasehold interest and property acquisitions and working capital.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36 of this prospectus.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anticipate that we will retain all future earnings, if any, to finance the growth and development of our business. We do not intend to pay cash dividends in the foreseeable future.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“FANG”</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carefully read and consider the information set forth under heading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13 of this prospectus and all other information set forth in this prospectus before deciding to invest in our common stock.</w:t>
      </w:r>
    </w:p>
    <w:p>
      <w:pPr>
        <w:spacing w:after="0" w:line="106" w:lineRule="exact"/>
        <w:rPr>
          <w:sz w:val="20"/>
          <w:szCs w:val="20"/>
          <w:color w:val="auto"/>
        </w:rPr>
      </w:pPr>
    </w:p>
    <w:p>
      <w:pPr>
        <w:sectPr>
          <w:pgSz w:w="11900" w:h="16838" w:orient="portrait"/>
          <w:cols w:equalWidth="0" w:num="2">
            <w:col w:w="4300" w:space="720"/>
            <w:col w:w="5560"/>
          </w:cols>
          <w:pgMar w:left="240" w:top="125" w:right="107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Except as otherwise indicated, all information contained in this prospectus:</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the underwriters do not exercise their option to purchase additional shares of our common stock;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2,500,000 shares of common stock reserved for issuance under our equity incentive plan, including:</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245,716 restricted stock units issued to certain employees under the terms of their employment agreements;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33,330 restricted stock units issued to our non-employee directors as part of their director compensation; and</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options to purchase 913,000 shares of our common stock granted to certain of our employees.</w:t>
      </w: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240" w:top="125" w:right="10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Combined Consolidated Historical and Pro Forma Financial Data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 sets forth our summary historical combined consolidated financial data as of and for each of the periods indicated. The summary historical combined consolidated financial data as of December 31, 2012 and 2011 and for the years ended December 31, 2012, 2011 and 2010 are derived from our historical audited combined consolidated financial statements incorporated by reference into this prospectus. The summary historical combined consolidated balance sheet data as of December 31, 2010 are derived from our audited consolidated balance sheets of the Predecessors as of that date, which is not included in or incorporated by reference into this prospectus. The unaudited pro forma financial data give effect to (a) the Gulfport transaction and (b) the distribution by Windsor Permian to its equity holder of its minority equity interests in Bison Drilling and Field Services LLC, or Bison, and Muskie Holdings LLC, or Muskie, as described under the heading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on page 69 of this prospectus, as if these transactions occurred on January 1, 2012. The unaudited pro forma C Corporation financial data presented give effect to income taxes assuming we operated as a taxable corporation since inception for the 2011 and 2010 historical columns and since December 31, 2011 for the 2012 historical and pro forma columns. Operating results for the years ended December 31, 2012, 2011 and 2010 are not necessarily indicative of results that may be expected for any future periods. You should review this information together with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which is incorporated by reference into this prospectus and “</w:t>
      </w:r>
      <w:r>
        <w:rPr>
          <w:rFonts w:ascii="Arial" w:cs="Arial" w:eastAsia="Arial" w:hAnsi="Arial"/>
          <w:sz w:val="16"/>
          <w:szCs w:val="16"/>
          <w:i w:val="1"/>
          <w:iCs w:val="1"/>
          <w:color w:val="auto"/>
        </w:rPr>
        <w:t>Selected Historical Combined Consolidated Financial Data</w:t>
      </w:r>
      <w:r>
        <w:rPr>
          <w:rFonts w:ascii="Arial" w:cs="Arial" w:eastAsia="Arial" w:hAnsi="Arial"/>
          <w:sz w:val="16"/>
          <w:szCs w:val="16"/>
          <w:color w:val="auto"/>
        </w:rPr>
        <w:t>” and “</w:t>
      </w:r>
      <w:r>
        <w:rPr>
          <w:rFonts w:ascii="Arial" w:cs="Arial" w:eastAsia="Arial" w:hAnsi="Arial"/>
          <w:sz w:val="16"/>
          <w:szCs w:val="16"/>
          <w:i w:val="1"/>
          <w:iCs w:val="1"/>
          <w:color w:val="auto"/>
        </w:rPr>
        <w:t>Unaudited Pro Forma Condensed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beginning on pages 39 and 43, respectively, of this prospectus as well as our combined consolidated historical financial statements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incorporated by reference into this prospectus and the statements of revenues and direct operating expenses of certain property interests of Gulfport and their related notes included elsewhere in this prospectus.</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Pro Forma</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Historical</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0"/>
              <w:spacing w:after="0" w:line="264" w:lineRule="exact"/>
              <w:rPr>
                <w:sz w:val="20"/>
                <w:szCs w:val="20"/>
                <w:color w:val="auto"/>
              </w:rPr>
            </w:pPr>
            <w:r>
              <w:rPr>
                <w:rFonts w:ascii="Arial" w:cs="Arial" w:eastAsia="Arial" w:hAnsi="Arial"/>
                <w:sz w:val="18"/>
                <w:szCs w:val="18"/>
                <w:b w:val="1"/>
                <w:bCs w:val="1"/>
                <w:color w:val="auto"/>
                <w:w w:val="82"/>
              </w:rPr>
              <w:t>2011</w:t>
            </w:r>
            <w:r>
              <w:rPr>
                <w:rFonts w:ascii="Arial" w:cs="Arial" w:eastAsia="Arial" w:hAnsi="Arial"/>
                <w:sz w:val="25"/>
                <w:szCs w:val="25"/>
                <w:b w:val="1"/>
                <w:bCs w:val="1"/>
                <w:color w:val="auto"/>
                <w:w w:val="82"/>
                <w:vertAlign w:val="superscript"/>
              </w:rPr>
              <w:t>(2)</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97,455,000</w:t>
            </w:r>
          </w:p>
        </w:tc>
        <w:tc>
          <w:tcPr>
            <w:tcW w:w="3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74,962,000</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47,875,000</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26,442,000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811,000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23,361,000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16,793,000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4,589,000</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Production taxes</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4,804,000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3,691,000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2,366,000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1,347,000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Gathering and transportation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Oil and natural gas services</w:t>
            </w:r>
          </w:p>
        </w:tc>
        <w:tc>
          <w:tcPr>
            <w:tcW w:w="200" w:type="dxa"/>
            <w:vAlign w:val="bottom"/>
          </w:tcPr>
          <w:p>
            <w:pPr>
              <w:spacing w:after="0"/>
              <w:rPr>
                <w:sz w:val="21"/>
                <w:szCs w:val="21"/>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1,733,000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811,000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34,205,000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26,273,000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15,601,000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8,145,000</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10,376,000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10,376,000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3,655,000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3,036,000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 retirement obligation accretion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37"/>
        </w:trPr>
        <w:tc>
          <w:tcPr>
            <w:tcW w:w="4520" w:type="dxa"/>
            <w:vAlign w:val="bottom"/>
          </w:tcPr>
          <w:p>
            <w:pPr>
              <w:ind w:left="48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73,391,000</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57,655,000</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34,219,000</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18,072,000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24,064,000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17,307,000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15,147,000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9,181,000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(3,610,000)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(2,528,000)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(836,000)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Gain (loss) on derivative instruments</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2,617,000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2,617,000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(13,009,000)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equity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2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1,142,000</w:t>
            </w: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(15,533,000)</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25,206,000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18,382,000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8,231,000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54,903,000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54,903,000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(29,697,000)</w:t>
            </w:r>
          </w:p>
        </w:tc>
        <w:tc>
          <w:tcPr>
            <w:tcW w:w="3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(36,521,000)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8,231,000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Historical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10"/>
          </w:tcPr>
          <w:p>
            <w:pPr>
              <w:jc w:val="right"/>
              <w:ind w:right="10"/>
              <w:spacing w:after="0"/>
              <w:rPr>
                <w:sz w:val="20"/>
                <w:szCs w:val="20"/>
                <w:color w:val="auto"/>
              </w:rPr>
            </w:pPr>
            <w:r>
              <w:rPr>
                <w:rFonts w:ascii="Arial" w:cs="Arial" w:eastAsia="Arial" w:hAnsi="Arial"/>
                <w:sz w:val="18"/>
                <w:szCs w:val="18"/>
                <w:b w:val="1"/>
                <w:bCs w:val="1"/>
                <w:color w:val="auto"/>
                <w:w w:val="89"/>
              </w:rPr>
              <w:t>Year Ended December, 31</w:t>
            </w: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310"/>
              <w:spacing w:after="0" w:line="264" w:lineRule="exact"/>
              <w:rPr>
                <w:sz w:val="20"/>
                <w:szCs w:val="20"/>
                <w:color w:val="auto"/>
              </w:rPr>
            </w:pPr>
            <w:r>
              <w:rPr>
                <w:rFonts w:ascii="Arial" w:cs="Arial" w:eastAsia="Arial" w:hAnsi="Arial"/>
                <w:sz w:val="18"/>
                <w:szCs w:val="18"/>
                <w:b w:val="1"/>
                <w:bCs w:val="1"/>
                <w:color w:val="auto"/>
                <w:w w:val="79"/>
              </w:rPr>
              <w:t>2012</w:t>
            </w:r>
            <w:r>
              <w:rPr>
                <w:rFonts w:ascii="Arial" w:cs="Arial" w:eastAsia="Arial" w:hAnsi="Arial"/>
                <w:sz w:val="25"/>
                <w:szCs w:val="25"/>
                <w:b w:val="1"/>
                <w:bCs w:val="1"/>
                <w:color w:val="auto"/>
                <w:w w:val="79"/>
                <w:vertAlign w:val="superscript"/>
              </w:rPr>
              <w:t>(1)</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35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39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56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Pro Forma C Corporation Data</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Net income (loss)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25,206,000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18,382,000</w:t>
            </w:r>
          </w:p>
        </w:tc>
        <w:tc>
          <w:tcPr>
            <w:tcW w:w="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(386,000)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8,231,000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 forma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8,973,000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6,553,000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Pro forma 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16,233,000</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11,829,000</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(386,000)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8,231,000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 forma 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center"/>
              <w:ind w:left="17"/>
              <w:spacing w:after="0"/>
              <w:rPr>
                <w:sz w:val="20"/>
                <w:szCs w:val="20"/>
                <w:color w:val="auto"/>
              </w:rPr>
            </w:pPr>
            <w:r>
              <w:rPr>
                <w:rFonts w:ascii="Arial" w:cs="Arial" w:eastAsia="Arial" w:hAnsi="Arial"/>
                <w:sz w:val="13"/>
                <w:szCs w:val="13"/>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21"/>
                <w:szCs w:val="21"/>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tcBorders>
              <w:bottom w:val="single" w:sz="8" w:color="CCEEFF"/>
            </w:tcBorders>
            <w:gridSpan w:val="2"/>
            <w:shd w:val="clear" w:color="auto" w:fill="CCEEFF"/>
          </w:tcPr>
          <w:p>
            <w:pPr>
              <w:jc w:val="center"/>
              <w:ind w:left="17"/>
              <w:spacing w:after="0"/>
              <w:rPr>
                <w:sz w:val="20"/>
                <w:szCs w:val="20"/>
                <w:color w:val="auto"/>
              </w:rPr>
            </w:pPr>
            <w:r>
              <w:rPr>
                <w:rFonts w:ascii="Arial" w:cs="Arial" w:eastAsia="Arial" w:hAnsi="Arial"/>
                <w:sz w:val="13"/>
                <w:szCs w:val="13"/>
                <w:color w:val="auto"/>
              </w:rPr>
              <w:t>(5)</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w w:val="98"/>
              </w:rPr>
              <w:t>Pro forma weighted average common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25,856,823</w:t>
            </w:r>
          </w:p>
        </w:tc>
        <w:tc>
          <w:tcPr>
            <w:tcW w:w="300" w:type="dxa"/>
            <w:vAlign w:val="bottom"/>
            <w:tcBorders>
              <w:bottom w:val="single" w:sz="8" w:color="CCEEFF"/>
            </w:tcBorders>
            <w:gridSpan w:val="2"/>
            <w:shd w:val="clear" w:color="auto" w:fill="CCEEFF"/>
          </w:tcPr>
          <w:p>
            <w:pPr>
              <w:jc w:val="center"/>
              <w:ind w:left="17"/>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19,720,734</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25,859,863</w:t>
            </w:r>
          </w:p>
        </w:tc>
        <w:tc>
          <w:tcPr>
            <w:tcW w:w="300" w:type="dxa"/>
            <w:vAlign w:val="bottom"/>
            <w:gridSpan w:val="2"/>
          </w:tcPr>
          <w:p>
            <w:pPr>
              <w:jc w:val="center"/>
              <w:ind w:left="1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19,723,774</w:t>
            </w:r>
          </w:p>
        </w:tc>
        <w:tc>
          <w:tcPr>
            <w:tcW w:w="60" w:type="dxa"/>
            <w:vAlign w:val="bottom"/>
          </w:tcPr>
          <w:p>
            <w:pPr>
              <w:spacing w:after="0"/>
              <w:rPr>
                <w:sz w:val="21"/>
                <w:szCs w:val="21"/>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b w:val="1"/>
                <w:bCs w:val="1"/>
                <w:color w:val="auto"/>
              </w:rPr>
              <w:t>Selected Cash Flow and Other Financial Data:</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0"/>
              </w:rPr>
              <w:t>(36,521,000)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(386,000)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8,231,000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26,273,000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16,104,000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8,145,000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Other non-cash items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56,390,000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8"/>
              </w:rPr>
              <w:t>13,845,000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344,000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3,550,000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1,435,000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(11,528,000)</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49,692,000</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30,998,000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5,192,000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(183,078,000)</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(81,108,000)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(55,236,000)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152,785,000</w:t>
            </w:r>
          </w:p>
        </w:tc>
        <w:tc>
          <w:tcPr>
            <w:tcW w:w="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8"/>
              </w:rPr>
              <w:t>52,950,000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51,733,000</w:t>
            </w:r>
          </w:p>
        </w:tc>
        <w:tc>
          <w:tcPr>
            <w:tcW w:w="0" w:type="dxa"/>
            <w:vAlign w:val="bottom"/>
          </w:tcPr>
          <w:p>
            <w:pPr>
              <w:spacing w:after="0"/>
              <w:rPr>
                <w:sz w:val="1"/>
                <w:szCs w:val="1"/>
                <w:color w:val="auto"/>
              </w:rPr>
            </w:pPr>
          </w:p>
        </w:tc>
      </w:tr>
      <w:tr>
        <w:trPr>
          <w:trHeight w:val="621"/>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As of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7"/>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7"/>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6"/>
          </w:tcPr>
          <w:p>
            <w:pPr>
              <w:jc w:val="center"/>
              <w:ind w:left="950"/>
              <w:spacing w:after="0" w:line="264" w:lineRule="exact"/>
              <w:rPr>
                <w:sz w:val="20"/>
                <w:szCs w:val="20"/>
                <w:color w:val="auto"/>
              </w:rPr>
            </w:pPr>
            <w:r>
              <w:rPr>
                <w:rFonts w:ascii="Arial" w:cs="Arial" w:eastAsia="Arial" w:hAnsi="Arial"/>
                <w:sz w:val="18"/>
                <w:szCs w:val="18"/>
                <w:b w:val="1"/>
                <w:bCs w:val="1"/>
                <w:color w:val="auto"/>
                <w:w w:val="82"/>
              </w:rPr>
              <w:t>2012</w:t>
            </w:r>
            <w:r>
              <w:rPr>
                <w:rFonts w:ascii="Arial" w:cs="Arial" w:eastAsia="Arial" w:hAnsi="Arial"/>
                <w:sz w:val="25"/>
                <w:szCs w:val="25"/>
                <w:b w:val="1"/>
                <w:bCs w:val="1"/>
                <w:color w:val="auto"/>
                <w:w w:val="82"/>
                <w:vertAlign w:val="superscript"/>
              </w:rPr>
              <w:t>(1)</w:t>
            </w:r>
          </w:p>
        </w:tc>
        <w:tc>
          <w:tcPr>
            <w:tcW w:w="280" w:type="dxa"/>
            <w:vAlign w:val="bottom"/>
          </w:tcPr>
          <w:p>
            <w:pPr>
              <w:spacing w:after="0"/>
              <w:rPr>
                <w:sz w:val="22"/>
                <w:szCs w:val="22"/>
                <w:color w:val="auto"/>
              </w:rPr>
            </w:pPr>
          </w:p>
        </w:tc>
        <w:tc>
          <w:tcPr>
            <w:tcW w:w="1520" w:type="dxa"/>
            <w:vAlign w:val="bottom"/>
            <w:gridSpan w:val="7"/>
          </w:tcPr>
          <w:p>
            <w:pPr>
              <w:jc w:val="center"/>
              <w:ind w:left="610"/>
              <w:spacing w:after="0" w:line="264" w:lineRule="exact"/>
              <w:rPr>
                <w:sz w:val="20"/>
                <w:szCs w:val="20"/>
                <w:color w:val="auto"/>
              </w:rPr>
            </w:pPr>
            <w:r>
              <w:rPr>
                <w:rFonts w:ascii="Arial" w:cs="Arial" w:eastAsia="Arial" w:hAnsi="Arial"/>
                <w:sz w:val="18"/>
                <w:szCs w:val="18"/>
                <w:b w:val="1"/>
                <w:bCs w:val="1"/>
                <w:color w:val="auto"/>
                <w:w w:val="82"/>
              </w:rPr>
              <w:t>2011</w:t>
            </w:r>
            <w:r>
              <w:rPr>
                <w:rFonts w:ascii="Arial" w:cs="Arial" w:eastAsia="Arial" w:hAnsi="Arial"/>
                <w:sz w:val="25"/>
                <w:szCs w:val="25"/>
                <w:b w:val="1"/>
                <w:bCs w:val="1"/>
                <w:color w:val="auto"/>
                <w:w w:val="82"/>
                <w:vertAlign w:val="superscript"/>
              </w:rPr>
              <w:t>(2)</w:t>
            </w:r>
          </w:p>
        </w:tc>
        <w:tc>
          <w:tcPr>
            <w:tcW w:w="360" w:type="dxa"/>
            <w:vAlign w:val="bottom"/>
          </w:tcPr>
          <w:p>
            <w:pPr>
              <w:spacing w:after="0"/>
              <w:rPr>
                <w:sz w:val="22"/>
                <w:szCs w:val="22"/>
                <w:color w:val="auto"/>
              </w:rPr>
            </w:pPr>
          </w:p>
        </w:tc>
        <w:tc>
          <w:tcPr>
            <w:tcW w:w="1900" w:type="dxa"/>
            <w:vAlign w:val="bottom"/>
            <w:gridSpan w:val="7"/>
          </w:tcPr>
          <w:p>
            <w:pPr>
              <w:jc w:val="right"/>
              <w:ind w:right="49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(2)</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26,358,000</w:t>
            </w:r>
          </w:p>
        </w:tc>
        <w:tc>
          <w:tcPr>
            <w:tcW w:w="9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6,959,000</w:t>
            </w:r>
          </w:p>
        </w:tc>
        <w:tc>
          <w:tcPr>
            <w:tcW w:w="8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rPr>
              <w:t>4,119,000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9"/>
              </w:rPr>
              <w:t>23,917,000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23,853,000</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9"/>
              </w:rPr>
              <w:t>20,947,000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 and gas properties, net – using full cost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method of accounting</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89"/>
              </w:rPr>
              <w:t>552,640,000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w w:val="91"/>
              </w:rPr>
              <w:t>220,465,000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w w:val="89"/>
              </w:rPr>
              <w:t>144,552,000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1,602,000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684,000</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9"/>
              </w:rPr>
              <w:t>11,059,000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2,184,000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5"/>
              </w:rPr>
              <w:t>11,617,000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638,000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9"/>
              </w:rPr>
              <w:t>606,701,000</w:t>
            </w:r>
          </w:p>
        </w:tc>
        <w:tc>
          <w:tcPr>
            <w:tcW w:w="9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263,578,000</w:t>
            </w:r>
          </w:p>
        </w:tc>
        <w:tc>
          <w:tcPr>
            <w:tcW w:w="88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9"/>
              </w:rPr>
              <w:t>181,315,000</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79,232,000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5"/>
              </w:rPr>
              <w:t>42,298,000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w w:val="99"/>
              </w:rPr>
              <w:t>19,070,000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 payable-long term</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193,000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Note payable-credit facility-long term</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5"/>
              </w:rPr>
              <w:t>85,000,000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w w:val="99"/>
              </w:rPr>
              <w:t>44,767,000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instruments-long term</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388,000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6,139,000</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1,374,000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1,104,000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742,000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9"/>
              </w:rPr>
              <w:t>62,695,000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Member’s/stockholders’ equity</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89"/>
              </w:rPr>
              <w:t>462,068,000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w w:val="91"/>
              </w:rPr>
              <w:t>129,037,000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4"/>
          </w:tcPr>
          <w:p>
            <w:pPr>
              <w:jc w:val="right"/>
              <w:ind w:right="10"/>
              <w:spacing w:after="0"/>
              <w:rPr>
                <w:sz w:val="20"/>
                <w:szCs w:val="20"/>
                <w:color w:val="auto"/>
              </w:rPr>
            </w:pPr>
            <w:r>
              <w:rPr>
                <w:rFonts w:ascii="Arial" w:cs="Arial" w:eastAsia="Arial" w:hAnsi="Arial"/>
                <w:sz w:val="18"/>
                <w:szCs w:val="18"/>
                <w:color w:val="auto"/>
                <w:w w:val="89"/>
              </w:rPr>
              <w:t>115,362,000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gridSpan w:val="2"/>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4"/>
              </w:rPr>
              <w:t>Total liabilities and member’s/stockholders’ equity</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9"/>
              </w:rPr>
              <w:t>606,701,000</w:t>
            </w:r>
          </w:p>
        </w:tc>
        <w:tc>
          <w:tcPr>
            <w:tcW w:w="9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263,578,000</w:t>
            </w:r>
          </w:p>
        </w:tc>
        <w:tc>
          <w:tcPr>
            <w:tcW w:w="88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9"/>
              </w:rPr>
              <w:t>181,315,000</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08"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8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Pro Forma</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Historical</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Year Ended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6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50"/>
              <w:spacing w:after="0" w:line="264" w:lineRule="exact"/>
              <w:rPr>
                <w:sz w:val="20"/>
                <w:szCs w:val="20"/>
                <w:color w:val="auto"/>
              </w:rPr>
            </w:pPr>
            <w:r>
              <w:rPr>
                <w:rFonts w:ascii="Arial" w:cs="Arial" w:eastAsia="Arial" w:hAnsi="Arial"/>
                <w:sz w:val="18"/>
                <w:szCs w:val="18"/>
                <w:b w:val="1"/>
                <w:bCs w:val="1"/>
                <w:color w:val="auto"/>
                <w:w w:val="82"/>
              </w:rPr>
              <w:t>2011</w:t>
            </w:r>
            <w:r>
              <w:rPr>
                <w:rFonts w:ascii="Arial" w:cs="Arial" w:eastAsia="Arial" w:hAnsi="Arial"/>
                <w:sz w:val="25"/>
                <w:szCs w:val="25"/>
                <w:b w:val="1"/>
                <w:bCs w:val="1"/>
                <w:color w:val="auto"/>
                <w:w w:val="82"/>
                <w:vertAlign w:val="superscript"/>
              </w:rPr>
              <w:t>(2)</w:t>
            </w:r>
          </w:p>
        </w:tc>
        <w:tc>
          <w:tcPr>
            <w:tcW w:w="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63,003,000</w:t>
            </w:r>
          </w:p>
        </w:tc>
        <w:tc>
          <w:tcPr>
            <w:tcW w:w="2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48,223,000</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31,864,000</w:t>
            </w:r>
          </w:p>
        </w:tc>
        <w:tc>
          <w:tcPr>
            <w:tcW w:w="1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17,398,000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31F20"/>
        </w:rPr>
        <w:t>_________</w:t>
      </w:r>
    </w:p>
    <w:p>
      <w:pPr>
        <w:spacing w:after="0" w:line="17" w:lineRule="exact"/>
        <w:rPr>
          <w:sz w:val="20"/>
          <w:szCs w:val="20"/>
          <w:color w:val="auto"/>
        </w:rPr>
      </w:pPr>
    </w:p>
    <w:p>
      <w:pPr>
        <w:jc w:val="both"/>
        <w:ind w:left="340" w:hanging="332"/>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 ended December 31, 2012 reflects (a) the combined historical financial data of Windsor Permian LLC and Windsor UT LLC due to the transfer of a business between entities under common control and (b) the results of operations attributable to the acquisition of properties from Gulfport Energy Corporation beginning October 11, 2012, the closing date of the property acquisition. See Note 1 and Note 2 to our combined consolidated financial statements incorporated by reference into this prospectus.</w:t>
      </w:r>
    </w:p>
    <w:p>
      <w:pPr>
        <w:spacing w:after="0" w:line="29"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years ended December 31, 2011 and 2010 reflect the combined historical financial data of Windsor Permian LLC and Windsor UT LLC due to the transfer of a business between entities under common control. See Note 1 to our combined consolidated financial statements incorporated by reference into this prospectus.</w:t>
      </w:r>
    </w:p>
    <w:p>
      <w:pPr>
        <w:spacing w:after="0" w:line="19"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Diamondback was formed as a holding company on December 30, 2011, and did not conduct any material business operations until October 11, 2012 when Diamondback merged with its parent entity, Diamondback Energy LLC, with Diamondback continuing as the surviving entity. Diamondback is a C-Corp under the Internal Revenue Code and is subject to income taxes. The Company computed a pro forma income tax provision for 2012 as if the Company and the Predecessors were subject to income taxes since December 31, 2011. For 2011 and 2010 comparative purposes, we have included pro forma financial data to give effect to income taxes assuming the earnings of the Company and the Predecessors had been subject to federal income tax as a subchapter C corporation since inception. If the earnings of the Company and the Predecessors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2011 and 2010 of zero. The unaudited pro forma data is presented for informational purposes only, and does not purport to project our results of operations for any future period or our financial position as of any future date. The pro forma tax provision has been calculated at a rate based upon a federal corporate level tax rate and a state tax rate, net of federal benefit, incorporating permanent differences. See Note 1 to our combined consolidated financial statements incorporated by reference into this prospectus.</w:t>
      </w:r>
    </w:p>
    <w:p>
      <w:pPr>
        <w:spacing w:after="0" w:line="23"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pro forma basic earnings per share amounts have been computed based on the weighted-average number of shares of common stock outstanding for the period, as if the common shares issued upon the merger of Diamondback Energy LLC into Diamondback were outstanding for the entire year. Diluted earnings per share reflects the potential dilution, using the treasury stock method, which assumes that options were exercised and restricted stock awards and units were fully vested. During periods in which the Company realizes a net loss, options and restricted stock awards would not be dilutive to net loss per share and conversion into common stock is assumed not to occur. See Note 1 to our combined consolidated financial statements incorporated by reference into this prospectus.</w:t>
      </w:r>
    </w:p>
    <w:p>
      <w:pPr>
        <w:spacing w:after="0" w:line="16"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pro forma basic earnings per share amounts have been computed based on the weighted-average number of shares of common stock outstanding for the period, as if the common shares issued upon the merger of Diamondback Energy LLC into Diamondback and as if the common shares issued to Gulfport upon the closing of the Gulfport transaction were outstanding for the entire year. Diluted earnings per share reflects the potential dilution, using the treasury stock method, which assumes that options were exercised and restricted stock awards and units were fully vested. During periods in which the Company realizes a net loss, options and restricted stock awards would not be dilutive to net loss per share and conversion into common stock is assumed not to occur. See Note 1 to our combined consolidated financial statements incorporated by reference into this prospectus.</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a definition of Adjusted EBITDA and a reconciliation of Adjusted EBITDA to our net income (loss), see “</w:t>
      </w:r>
      <w:r>
        <w:rPr>
          <w:rFonts w:ascii="Arial" w:cs="Arial" w:eastAsia="Arial" w:hAnsi="Arial"/>
          <w:sz w:val="18"/>
          <w:szCs w:val="18"/>
          <w:i w:val="1"/>
          <w:iCs w:val="1"/>
          <w:color w:val="auto"/>
        </w:rPr>
        <w:t>Selected Historical Combined Consolidated Financial Data</w:t>
      </w:r>
      <w:r>
        <w:rPr>
          <w:rFonts w:ascii="Arial" w:cs="Arial" w:eastAsia="Arial" w:hAnsi="Arial"/>
          <w:sz w:val="18"/>
          <w:szCs w:val="18"/>
          <w:color w:val="auto"/>
        </w:rPr>
        <w:t>” beginning on page 39 of this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Reserve Data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 sets forth estimates of our net proved oil and natural gas reserves as of December 31, 2012 and 2011, based on the reserve report prepared by Ryder Scott, and as of December 31, 2010, based on the reserve report prepared by Pinnacle Energy Services, LLC, or Pinnacle. Each reserve report was prepared in accordance with SEC rules and regulations. You should refer to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 Data—Proved</w:t>
      </w:r>
      <w:r>
        <w:rPr>
          <w:rFonts w:ascii="Arial" w:cs="Arial" w:eastAsia="Arial" w:hAnsi="Arial"/>
          <w:sz w:val="16"/>
          <w:szCs w:val="16"/>
          <w:color w:val="auto"/>
        </w:rPr>
        <w:t xml:space="preserve"> </w:t>
      </w:r>
      <w:r>
        <w:rPr>
          <w:rFonts w:ascii="Arial" w:cs="Arial" w:eastAsia="Arial" w:hAnsi="Arial"/>
          <w:sz w:val="16"/>
          <w:szCs w:val="16"/>
          <w:i w:val="1"/>
          <w:iCs w:val="1"/>
          <w:color w:val="auto"/>
        </w:rPr>
        <w:t>Reserves</w:t>
      </w:r>
      <w:r>
        <w:rPr>
          <w:rFonts w:ascii="Arial" w:cs="Arial" w:eastAsia="Arial" w:hAnsi="Arial"/>
          <w:sz w:val="16"/>
          <w:szCs w:val="16"/>
          <w:color w:val="auto"/>
        </w:rPr>
        <w:t>,” “</w:t>
      </w:r>
      <w:r>
        <w:rPr>
          <w:rFonts w:ascii="Arial" w:cs="Arial" w:eastAsia="Arial" w:hAnsi="Arial"/>
          <w:sz w:val="16"/>
          <w:szCs w:val="16"/>
          <w:i w:val="1"/>
          <w:iCs w:val="1"/>
          <w:color w:val="auto"/>
        </w:rPr>
        <w:t>Business—Oil and Natural Gas Production Prices and Production Costs—Production and Price History</w:t>
      </w:r>
      <w:r>
        <w:rPr>
          <w:rFonts w:ascii="Arial" w:cs="Arial" w:eastAsia="Arial" w:hAnsi="Arial"/>
          <w:sz w:val="16"/>
          <w:szCs w:val="16"/>
          <w:color w:val="auto"/>
        </w:rPr>
        <w:t>” beginning on pages 13, 52 and 55,</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this prospectus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our audited consolidated financial statements and notes thereto incorporated by reference into this prospectus in evaluating the material presented below.</w:t>
      </w:r>
    </w:p>
    <w:p>
      <w:pPr>
        <w:spacing w:after="0" w:line="32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Historical</w:t>
            </w:r>
          </w:p>
        </w:tc>
        <w:tc>
          <w:tcPr>
            <w:tcW w:w="12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660" w:type="dxa"/>
            <w:vAlign w:val="bottom"/>
            <w:tcBorders>
              <w:bottom w:val="single" w:sz="8" w:color="auto"/>
            </w:tcBorders>
            <w:gridSpan w:val="5"/>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66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
        </w:trPr>
        <w:tc>
          <w:tcPr>
            <w:tcW w:w="58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proved developed reserves: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Oil (Bbls)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7,189,367</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3,949,099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3,371,460</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(Mcf)</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12,864,941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5,285,945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4,336,720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Natural gas liquids (Bbls)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2,999,440</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1,263,710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1,126,431</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(BOE)</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12,332,964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6,093,800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5,220,678</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Estimated proved undeveloped reserves: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(Bbls)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19,007,492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14,151,337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16,258,700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Natural gas (Mcf)</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21,705,207</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15,265,522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18,358,360</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liquids (Bbls)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5,251,989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3,785,849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4,706,536</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Total (BOE)</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27,877,016</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20,481,440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24,024,963</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Net Proved Reserves: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Oil (Bbls)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26,196,859</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18,100,436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19,630,160</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(Mcf)</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34,570,148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20,551,467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22,695,080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Natural gas liquids (Bbls)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8,251,429</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5,049,559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5,832,967</w:t>
            </w:r>
          </w:p>
        </w:tc>
      </w:tr>
      <w:tr>
        <w:trPr>
          <w:trHeight w:val="27"/>
        </w:trPr>
        <w:tc>
          <w:tcPr>
            <w:tcW w:w="5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(BOE)</w:t>
            </w:r>
            <w:r>
              <w:rPr>
                <w:rFonts w:ascii="Arial" w:cs="Arial" w:eastAsia="Arial" w:hAnsi="Arial"/>
                <w:sz w:val="25"/>
                <w:szCs w:val="25"/>
                <w:color w:val="auto"/>
                <w:vertAlign w:val="superscript"/>
              </w:rPr>
              <w:t>(1)</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40,209,979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26,575,240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29,245,641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jc w:val="both"/>
        <w:ind w:left="340" w:hanging="332"/>
        <w:spacing w:after="0" w:line="29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Estimates of reserves as of December 31, 2012, 2011 and 2010 were prepared using an average price equal to the unweighted arithmetic average of hydrocarbon prices received on a field-by-field basis on the first day of each month within the 12-month periods ended December 31, 2012, 2011 and 2010, respectively, in accordance with revised SEC guidelines applicable to reserve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following risks and all of the other information contained in or incorporated by reference into this prospectus before deciding to invest in our common stock. Our business, financial condition and results of operations could be materially and adversely affected by any of these risks. The risks described below are not the only ones facing us. Additional risks not presently known to us or which we currently consider immaterial also may adversely affect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difficult to evaluate because we have a limited operating history.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 Energy, Inc. was incorporated in Delaware on December 30, 2011. Prior to October 11, 2012, all of our historical oil and natural gas assets, operations and results described in this prospectus were those of Windsor Permian and Windsor UT which, prior to our initial public offering, were entities controlled by our equity sponsor, Wexford. Immediately prior to the effectiveness of the registration statement relating to our initial public offering, Windsor Permian became our wholly-owned subsidiary and we acquired the oil and natural gas assets of Gulfport located in the Permian Basin in the Gulfport transaction. The oil and natural gas properties described in this prospectus have been acquired by Windsor Permian, Gulfport and Windsor UT since December 2007. As a result, there is only limited historical financial and operating information available upon which to base your evaluation of our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managing growth in our business, which could adversely affect our financial condition and results of operations.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recently-formed company, growth in accordance with our business plan, if achieved, could place a significant strain on our financial, technical, operational and management resources.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Approximately 84%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Approximately 84%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development and exploration operations require substantial capital and we may be unable to obtain needed capital or financing on satisfactory terms or at all, which could lead to a loss of properties and a decline in our oil and natural gas reserves.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2012, our total capital expenditures, including expenditures for leasehold interests and property acquisitions, drilling, seismic and infrastructure, were approximately $111.8 million. Our 2013 capital budget for drilling, completion and infrastructure, including investments in water disposal infrastructure and gathering line projects, is estimated to be approximately $ million to $ million. To date, we have financed capital expenditures primarily with funding from Wexford, our equity sponsor, borrowings under our revolving credit facility, cash generated by operations and the net proceeds of our initial public offering. However, neither Wexford nor any of its affiliates has made any commitment to provide us additional funding. Notwithstanding prior contributions and loans to us by Wexford or its affiliates, you should not assume that any of them will provide any debt or equity funding to us in the future.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the near term, we intend to finance our capital expenditures with cash flow from operations, proceeds from this offering and borrowings under our revolving credit facility. Our cash flow from operations and access to capital are subject to a number of variables, including:</w:t>
      </w:r>
    </w:p>
    <w:p>
      <w:pPr>
        <w:spacing w:after="0" w:line="14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volume of oil and natural gas we are able to produce from existing wells;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prices at which our oil and natural gas are sold;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2013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Furthermore, although our revenues may increase if prevailing oil and natural gas prices increase significantly, our finding costs for additional reserves could also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project areas are in various stages of development, ranging from project areas with current drilling or production activity to project areas that consist of recently acquired leasehold acreage or that have limited drilling or production history. From inception through December 31, 2012, we drilled a total of 193 gross wells and participated in an additional 18 gross non-operated wells, of which 191 wells were completed as producing wells and 20 wells were in various stages of completion. If the wells in the process of being completed do not produce sufficient revenues to return a profit or if we drill dry holes in the future, our business may be materially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2012, we had 881 gross (822 net) identified potential vertical drilling locations on our existing acreage based on 40-acre spacing and an additional 1,118 gross (1,026 net) identified potential vertical drilling locations based on 20-acre downspacing. We have also identified 739 gross (570 net) potential horizontal drilling locations in multiple horizons on our acreage. Only 306 of these identified potential vertical drilling locations and four of these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We cannot predict in advance of drilling and testing whether any particular drilling location will yield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oil or natural gas in sufficient quantities to recover drilling or completion costs or to be economically viable or whether wells drilled on 20-acre downspacing will produce at the same rates as those on 40-acre spacing.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While to date we are the operator of or have participated in a total of 12 horizontal wells in Upton and Midland Counties, we have not yet drilled or participated in any horizontal wells on our acreage in Andrews County. We cannot assure you that the analogies we draw from available data from these or other wells, more fully explored locations or producing fields will be applicable to our drilling locations, including but not limited to those in Andrews County.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December 31, 2012, we had leases representing 581 net acres expiring in 2013, 2,157 net acres expiring in 2014, 17,826 net acres expiring in 2015, 6,893 net acres expiring in 2016 and 1,820 net acres expiring in 2017.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2014 and 2015, we will need to operate at least a four-rig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volatility of oil and natural gas prices due to factors beyond our control greatly affects our profitability.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5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foreign imports;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members of the Organization of Petroleum Exporting Countries to agree to and maintain oil price and production controls;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capacity of oil and natural gas pipelines and other transportation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These factors and the volatility of the energy markets make it extremely difficult to predict future oil and natural gas price movements with any certainty. For example, during the past five years, the posted price for West Texas intermediate light sweet crude oil, which we refer to as West Texas Intermediate or WTI, has ranged from a low of $30.28 per barrel, or Bbl, in December 2008 to a high of $145.31 per Bbl in July 2008. The Henry Hub spot market price of natural gas has ranged from a low of $1.82 per million British thermal units, or MMBtu, in April 2012 to a high of $13.31 per MMBtu in July 2008. During 2012, West Texas Intermediate prices ranged from $77.72 to $109.39 per Bbl and the Henry Hub spot market price of natural gas ranged from $1.82 to $3.77 per MMBtu. On December 31, 2012, the West Texas Intermediate posted price for crude oil was $91.83 per Bbl and the Henry Hub spot market price of natural gas was $3.43 per MMBtu. Any substantial decline in the price of oil and natural gas will likely have a material adverse effect on our operations, financial condition and level of expenditures for the development of our oil and natural gas reserves. 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results deteriorate, full cost accounting rules may require us to write down, as a non-cash charge to earnings, the carrying value of our oil and natural gas properties.</w:t>
      </w:r>
    </w:p>
    <w:p>
      <w:pPr>
        <w:spacing w:after="0" w:line="17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have entered into price swap derivatives and may in the future enter into forward sale contracts or additional price swap derivatives for a portion of our production, which may result in our making cash payments or prevent us from receiving the full benefit of increases in prices for oil and natural gas.</w:t>
      </w:r>
    </w:p>
    <w:p>
      <w:pPr>
        <w:spacing w:after="0" w:line="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price swap derivatives to reduce price volatility associated with certain of our oil sales. Under these swap contracts, we receive a fixed price per barrel of oil and pay a floating market price per barrel of oil to the counterparty based on New York Mercantile Exchange Light Sweet Crude Oil pricing. The fixed-price payment and the floating-price payment are offset, resulting in a net amount due to or from the counterparty. For the purpose of locking-in the value of a swap, we enter into counter-swaps from time to time. Under the counter-swap, we receive a floating price for the hedged commodity and pay a fixed price to the counterparty. The counter-swap is effective in locking-in the value of a swap since subsequent changes in the market value of the swap are entirely offset by subsequent changes in the market value of the counter-swap.</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December 2007, we placed a swap contract covering 1,680,000 Bbls of crude oil for the period from January 2008 to December 2012 at various fixed prices. In April 2008, we entered into a series of counter-swaps to lock-in the value of certain of these swaps settling 1,188,000 Bbls of crude oil swaps. In June 2009, we entered into an additional series of counter-swaps to lock-in the value of most of the remaining swaps settling 324,000 Bbls of crude oil swaps. Locking in the value of our swaps with counter-swaps, without entering into new swaps, exposes us to commodity price risks on the originally swapped position. As of December 31, 2010 and 2009, all of our swap contracts were locked-in with counter swaps. In October 2011, we placed a swap contract covering 1,000 Bbls per day of crude oil for the period from January 1, 2012 through December 31, 2013 at a fixed price of $78.50 per barrel for 2012 and $80.55 per barrel for 2013. In February 2013, we entered into swap contract at a fixed price of $109.70 per barrel covering 365,000 Bbls of crude oil from May 2013 to April 2014 that will settle against the average of the prompt month Brent Crude futures price. Such contracts and any future hedging arrangements may expose us to risk of financial loss in certain circumstances, including instances where production is less than expected or oil prices increase. In addition, these arrangements may limit the benefit to us of increases in the price of oil. Accordingly, our earnings may fluctuate significantly as a result of changes in the fair value of our derivative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transactions expose us to counterparty credit risk.</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hedging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$6.0 million at December 31, 2012) and receivables from purchasers of our oil and natural gas production (approximately $8.1 million at December 31, 2012). Joint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subject to credit risk due to the concentration of our oil and natural gas receivables with several significant customers. For the year ended December 31, 2012, three purchasers accounted for more than 10% of our revenue: Plains Marketing, L.P. (53%); Occidental Energy Marketing, Inc. (16%); and Andrews Oil Buyers, Inc. (10%). For the years ended December 31, 2011 and 2010, one purchaser, Windsor Midstream LLC, an entity controlled by Wexford, our equity sponsor, accounted for approximately 79% of our revenue in both periods. No other customer accounted for more than 10% of our revenue during these periods.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$23.90, $25.41 and $17.78 for the years ended December 31, 2012, 2011 and 2010, respectively. Depreciation, depletion and amortization expense for oil and natural gas properties for the years ended December 31, 2012, 2011 and 2010 was $25.8 million, $15.4 million and $7.4 million respectively.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impairment on proved oil and natural gas properties was recorded for the years ended December 31, 2012, 2011 and 2010. We may, however, experience ceiling test write downs in the future. See “</w:t>
      </w:r>
      <w:r>
        <w:rPr>
          <w:rFonts w:ascii="Arial" w:cs="Arial" w:eastAsia="Arial" w:hAnsi="Arial"/>
          <w:sz w:val="18"/>
          <w:szCs w:val="18"/>
          <w:i w:val="1"/>
          <w:iCs w:val="1"/>
          <w:color w:val="auto"/>
        </w:rPr>
        <w:t>Management’s Discussion and Analysis of Financial Condition and Results of Operations—Critical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Estimates—Method of accounting for oil and natural gas properties</w:t>
      </w:r>
      <w:r>
        <w:rPr>
          <w:rFonts w:ascii="Arial" w:cs="Arial" w:eastAsia="Arial" w:hAnsi="Arial"/>
          <w:sz w:val="18"/>
          <w:szCs w:val="18"/>
          <w:color w:val="auto"/>
        </w:rPr>
        <w:t>” incorporated by reference into this prospectus for a more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description of our method of accounting.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and related valuations as of December 31, 2012 and 2011 are based on reports prepared by Ryder Scott, an independent petroleum engineering firm. Our historical estimates of proved reserves and related valuations as of December 31, 2010 are based on a report prepared by Pinnacle, an independent petroleum engineering firm. Ryder Scott and Pinnacle, as applicable, conducted a well-by-well review of all our properties for the periods covered by their respective reserve reports using information provided by us.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over time to the assumptions on which our reserve estimates are based, as described above, often result in the actual quantities of oil and natural gas that we ultimately recover being different from our reserve estimates.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estimates of reserves as of December 31, 2012, 2011 and 2010 included in this prospectus were prepared using an average price equal to the unweighted arithmetic average of hydrocarbon prices received on a field-by-field basis on the first day of each month within the 12-month periods ended December 31, 2012, 2011 and 2010, respectively, in accordance with the revised SEC guidelines applicable to reserve estimates for such periods. Reserve estimates do not include any value for probable or possible reserves that may exist, nor do they include any value for unproved undeveloped acreage. The reserve estimates represent our net revenue interest in our properties.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SEC rules that went into effect for fiscal years ending on or after December 31, 2009 could limit our ability to book additional proved undeveloped reserves in the future.</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 rules that went into effect for fiscal years ending on or after December 31, 2009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Approximately 69% of our total estimated proved reserves at December 31, 2012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or increases in costs to drill and develop such reserves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producing properties are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geographic concentration of our producing properties described above, at December 31, 2012, all of our proved reserves were attributable to the Wolfberry play.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availability of a ready market for any oil and/or natural gas we produce depends on numerous factors beyond the control of our management, including but not limited to the extent of domestic production and imports of oil, the proximity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year ended December 31, 2012, three purchasers accounted for more than 10% of our revenue: Plains Marketing, L.P. (53%); Occidental Energy Marketing, Inc. (16%); and Andrews Oil Buyers, Inc. (10%). For the years ended December 31, 2011 and 2010, one purchaser, Windsor Midstream LLC, an entity controlled by Wexford, our equity sponsor, accounted for approximately 79% of our revenue in both periods. No other customer accounted for more than 10% of our revenue during these periods. We cannot assure you that we will continue to have ready access to suitable markets for our future oil and natural gas production.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high cost or shortages of rigs, equipment, raw materials, supplies or personnel may restrict our operations.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In addition, although we intend to increase the number of rigs we have operating in 2013, we cannot guarantee that we will be able to do so.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According to the Lower Colorado River Authority, during 2011, Texas experienced the lowest inflows of water of any year in recorded history. As a result of this severe drought, some local water districts have begun restricting the use of water subject to their jurisdiction for hydraulic fracturing to protect local water supply. If we are unable to obtain water to use in our operations from local sources, we may be unable to economically drill for or produce oil and natural gas, which could have an adverse effect on our financial condition, results of operations and cash flows.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Declining general economic, business or industry conditions may have a material adverse effect on our results of operations, liquidity and financial condition.</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Concerns over global economic conditions, energy costs, geopolitical issues, inflation, the availability and cost of credit, the European debt crisis, the United States mortgage market and a weak real estate market in the United States have contributed to increased economic uncertainty and diminished expectations for the global economy. These factors, combined with volatile prices of oil, natural gas and natural gas liquids, declining business and consumer confidence and increased unemployment, have precipitated an economic slowdown and a recession. In addition, continued hostilities in the Middle East and the occurrence or threat of terrorist attacks in the United States or other countries could adversely affect the economies of the United States and other countries. Concerns about global economic growth have had a significant adverse impact on global financial markets and commodity prices. If the economic climate in the United States or abroad deteriorates further, worldwide demand for petroleum products could diminish, which could impact the price at which we can sell our oil, natural gas and natural gas liquids, affect the ability of our vendors, suppliers and customers to continue operations and ultimately adversely impact our results of operations, liquidity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a net loss of $36.5 million for the year ended December 31, 2012. Our development of and participation in an increasingly larger number of drilling locations has required and will continue to require substantial capital expenditures. The uncertainty and risks described in this prospectus may impede our ability to economically find, develop and acquire oil and natural gas reserves. As a result, we may not be able to achieve or sustain profitability or positive cash flows from our operating activities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Our purchasers then transport the oil by truck to a pipeline for transportation. Our natural gas production is generally transported by our gathering lines from the wellhead to an interconnection point with the purchaser. We do not control these trucks and other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If, in the future, we are unable, for any sustained period, to implement acceptable delivery or transportation arrangements or encounter production related difficulties, we may be required to shut in or curtail production. Any such shut in or curtailment, or an inability to obtain favorable terms for delivery of the oil and natural gas produced from our fields, would adversely affect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are subject to various governmental laws and regulations which require compliance that can be burdensome and expensive.</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have continually imposed increasingly strict requirements for water and air pollution control and solid waste management. Significant expenditures may be required to comply with governmental laws and regulations applicable to us. We believe the trend of more expansive and stricter environmental legislation and regulations will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continue. See “</w:t>
      </w:r>
      <w:r>
        <w:rPr>
          <w:rFonts w:ascii="Arial" w:cs="Arial" w:eastAsia="Arial" w:hAnsi="Arial"/>
          <w:sz w:val="18"/>
          <w:szCs w:val="18"/>
          <w:i w:val="1"/>
          <w:iCs w:val="1"/>
          <w:color w:val="auto"/>
        </w:rPr>
        <w:t>Business—Regulation</w:t>
      </w:r>
      <w:r>
        <w:rPr>
          <w:rFonts w:ascii="Arial" w:cs="Arial" w:eastAsia="Arial" w:hAnsi="Arial"/>
          <w:sz w:val="18"/>
          <w:szCs w:val="18"/>
          <w:color w:val="auto"/>
        </w:rPr>
        <w:t>” beginning on page 59 of this prospectus for a description of the laws and regulations that affect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federal Safe Drinking Water Act, or SDWA, regulates the underground injection of substances through the Underground Injection Control, or UIC, program. Hydraulic fracturing is generally exempt from regulation under the UIC program, and the hydraulic fracturing process is typically regulated by state oil and natural gas commissions. The Environmental Protection Agency, or EPA, however, has recently taken the position that hydraulic fracturing with fluids containing diesel fuel is subject to regulation under the UIC program, specifically as “Class II” UIC wells. At the same time, the White House Council on Environmental Quality is conducting an administration-wide review of hydraulic fracturing practices and the EPA has commenced a study of the potential environmental impacts of hydraulic fracturing activities.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the EPA has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Legislation to amend the SDWA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were proposed in recent sessions of Congress. The U.S. Congress continues to consider legislation to amend the SDWA.</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or VOCs, and a separate set of emission standards to address hazardous air pollutants frequently associated with oil and natural gas production and processing activities. The final rule seeks to achieve a 95%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 rules will require a number of modifications to our operations, including the installation of new equipment to control emissions from our wells by January 1, 2015. The EPA received numerous requests for reconsideration of these rules from both industry and the environmental community, and court challenges to the rules were also filed. The EPA intends to issue revised rules in 2013 that are likely responsive to some of these requests. The final revised rules could require modifications to our operations or increase our capital and operating costs without being offset by increased product capture. At this point, we cannot predict the final regulatory requirements or the cost to comply with such requirements with any certainty. The U.S. Department of the Interior has also announced its intention to propose a new rule regulation hydraulic fracturing activities on federal lands, including requirements for disclosure, well bore integrity and handling of flowback water.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2013 and 2014.</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These ongoing or proposed studies, depending on their degree of pursuit and whether any meaningful results are obtained, could spur initiatives to further regulate hydraulic fracturing under the SDWA or other regulatory authorities. The U.S. Department of Energy has conducted an investigation into practices the agency could recommend to better protect the environment from drilling using hydraulic-fracturing completion methods. Additionally, certain members of Congress have called upon the U.S. Government Accountability Office to investigate how hydraulic fracturing might adversely affect water resources, the SEC to investigate the natural gas industry and any possible misleading of investors or the public regarding the economic feasibility of pursuing natural gas deposits in shale formations by means of hydraulic fracturing, and the U.S. Energy Information Administration to provide a better understanding of that agency’s estimates regarding natural gas reserves, including reserves from shale formations, as well as uncertainties associated with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Several states, including Texas, have adopted or are considering adopting regulations that could restrict or prohibit hydraulic fracturing in certain circumstances and/or require the disclosure of the composition of hydraulic fracturing fluids. The Texas Railroad Commission recently adopted rules and regulations requiring that well operators disclose the list of chemical ingredients subject to the requirements of federal Occupational Safety and Health Act, or OSHA, to state regulators and on a public internet website. We plan to use hydraulic fracturing extensively in connection with the development and production of certain of our oil and natural gas properties and any increased federal, state, local, foreign or international regulation of hydraulic fracturing could reduce the volumes of oil and natural gas that we can economically recover, which could materially and adversely affect our revenues and results of operations.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has been increasing public controversy regarding hydraulic fracturing with regard to the use of fracturing fluids,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are adopted that significantly restrict hydraulic fracturing,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frontier and other protected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endangered species could prohibit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our ability to use derivative instruments to reduce the effect of commodity price, interest rate and other risks associated with our business.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adoption of derivatives legislation by the U.S. Congress could have an adverse effect on our ability to use derivative instruments to reduce the effect of commodity price, interest rate and other risks associated with our business. The U.S. Congress adopted the Dodd-Frank Wall Street Reform and Consumer Protection Act (HR 4173), which, among other provisions, establishes federal oversight and regulation of the over-the-counter derivatives market and entities that participate in that market. The legislation was signed into law by the President on July 21, 2010. In its rulemaking under the legislation, the Commodities Futures Trading Commission, or CFTC, has issued a final rule on position limits for certain futures and option contracts in the major energy markets and for swaps that are their economic equivalents (with exemptions for certain bona fide hedging transactions). The CFTC’s final rule was set aside by the U.S. District Court for the District of Columbia on September 28, 2012 and remanded to the CFTC to resolve ambiguity as to whether statutory requirements for such limits to be determined necessary and appropriate were satisfied. As a result, the rule has not yet taken effect, although the CFTC has indicated that it intends to appeal the court’s decision and that it believes the Dodd-Frank Act requires it to impose position limits. The impact of such regulations upon our business is not yet clear. Certain of our hedging and trading activities and those of our counterparties may be subject to the position limits, which may reduce our ability to enter into hedging transactions.</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addition, the Dodd-Frank Act does not explicitly exempt end users (such as us) from the requirement to use cleared exchanges, rather than hedging over-the-counter, and the requirements to post margin in connection with hedging activities. While it is not possible at this time to predict when the CFTC will finalize certain other related rules and regulations, the Dodd-Frank Act and related regulations may require us to comply with margin requirements and with certain clearing and trade-execution requirements in connection with our derivative activities, although whether these requirements will apply to our business is uncertain at this time. If the regulations ultimately adopted require that we post margin for our hedging activities or require our counterparties to hold margin or maintain capital levels, the cost of which could be passed through to us, or impose other requirements that are more burdensome than current regulations, our hedging would become more expensive and we may decide to alter our hedging strategy. The financial reform legislation may also require us to comply with margin requirements and with certain clearing and trade-execution requirements in connection with our existing or future derivative activities, although the application of those provisions to us is uncertain at this time. The financial reform legislation may also require the counterparties to our derivative instruments to spin off some of their derivatives activities to separate entities, which may not be as creditworthy as the current counterparties. The new legislation and any new regulations could significantly increase the cost of derivative contracts (including through requirements to post collateral which could adversely affect our available liquidity), materially alter the terms of derivative contracts, reduce the availability of derivatives to protect against risks we encounter, reduce our ability to monetize or restructure our derivative contracts in existence at that time, and increase our exposure to less creditworthy counterparties. If we reduce or change the way we use derivative instruments as a result of the legislation and regulations, our results of operations may become more volatile and our cash flows may be less predictable, which could adversely affect our ability to plan for and fund capital expenditures. Finally, the legislation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our consolidated financial position,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Proposed changes to U.S. tax laws, if adopted, could have an adverse effect on our business, financial condition, results of operations and cash flows.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President’s Fiscal Year 2013 Budget Proposal includes provisions that would, if enacted, make significant changes to U.S. tax laws. These changes include, but are not limited to, (i) eliminating the immediate deduction for intangible drilling and development costs, (ii) eliminating the deduction from income for domestic production activities relating to oil and natural gas exploration and development, (iii) the repeal of the percentage depletion allowance for oil and natural gas properties, (iv) an extension of the amortization period for certain geological and geophysical expenditures and (iv) implementing certain international tax reforms. These proposed changes in the U.S. tax laws, if adopted, or other similar changes that reduce or eliminate deductions currently available with respect to oil and natural gas exploration and development, could adversely affect our business, financial condition, results of operations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by Congress could result in increased operating costs and reduced demand for the oil and natural gas we produce.</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December 2009, the EPA issued an Endangerment Finding that determined that emissions of carbon dioxide, methane and other GHGs 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which purports to limit emissions of GHGs from motor vehicles manufactured in model years 2012-2016, in April 2010 and it became effective in January 2011. A recent rulemaking proposal by the EPA and the Department of Transportation’s National Highway Traffic Safety Administration seeks to expand the motor vehicle rule to include vehicles manufactured in model years 2017-2025. The EPA adopted the stationary source rule, also known as the “Tailoring Rule,” in May 2010, and it also became effective in January 2011. The Tailoring Rule establishes new GHG emissions thresholds that determine when stationary sources must obtain permits under the Prevention of Significant Deterioration, or PSD, and Title V programs of the Clean Air Act. Facilities required to obtain PSD permits for their GHG emissions also will be required to meet “best available control technology” standards, which will be established by the states or, in some instances, by the EPA on a case-by-case basis.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EPA has continued to adopt GHG regulations of other industries, such as the March 2012 proposed GHG rule restricting future development of coal-fired power plants. The proposed rule underwent an extended public comment process, which concluded on June 25, 2012. The EPA is also under a legal obligation pursuant to a consent decree with certain environmental groups to issue new source performance standards for refineries. The EPA is also considering additional regulation of greenhouse gases as “air pollutants.” As a result of this continued regulatory focus, future GHG regulations of the oil and gas industry remain a possibility. 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corresponding with their annual emissions of GHGs. The number of allowances available for purchase is reduced each year until the overall GHG emission reduction goal is achieved. As the number of GHG emission allowances declines each year, the cost or value of allowances is expected to escalate significantly.</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there has been public discussion that climate change may be associated with extreme weather conditions such as more intense hurricanes, thunderstorms, tornados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1(b) of the Natural Gas Act of 1938, or the NGA, exempts natural gas gathering facilities from regulation by the Federal Energy Regulatory Commission, or FERC. We believe that the natural gas pipelines in our gathering systems meet the traditional tests FERC has used to establish whether a pipeline performs a gathering function and therefore is exempt from FERC’s jurisdiction under the NGA. However, the distinction between FERC-regulated transmission services and federally unregulated gathering services is a fact-based determination. The classification of facilities as unregulated gathering is the subject of ongoing litigation, so the classification and regulation of our gathering facilities are subject to change based on future determinations by FERC, the courts or Congress, which could cause our revenues to decline and operating expenses to increase and may materially adversely affect our business, financial condition or results of operations. In addition, FERC has adopted regulations that may subject certain of our otherwise non-FERC jurisdictional facilities to FERC annual reporting and daily scheduled flow and capacity posting requirements. Additional rules and legislation pertaining to those and other matters may be considered or adopted by FERC from time to time. Failure to comply with those regulations in the future could subject us to civil penalty liability, which could have a material adverse effect on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reduction by Wexford of its ownership interest in us could adversely affect us</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Prior to October 11, 2012, Wexford beneficially owned 100% of our equity interests. Upon completion of our initial public offering, Wexford beneficially owned approximately 44.4% of our common stock. Further, several individuals who serve as our directors are affiliates of Wexford. We believe that Wexford’s substantial ownership interest in us provides Wexford with an economic incentive to assist us to be successful. Upon the expiration of the lock-up restrictions on transfers or sales of our securities by or on behalf of DB Energy Holdings LLC, or DB Holdings, imposed in connection with our initial public offering, Wexford will not be subject to any obligation to maintain its ownership interest in us and may elect at any time thereafter to sell all or a substantial portion of or otherwise reduce its ownership interest in us. If Wexford sells all or a substantial portion of its ownership interest in us, Wexford may have less incentive to assist in our success and its affiliate(s) that serve as members of our board of directors may resign. Such actions could adversely affect our ability to successfully implement our business strategies which could adversely affect our cash flows or results of operations. We also receive certain services, including drilling services from entities controlled by Wexford. These service contracts may generally be terminated on 30-days notice. In the event Wexford ceases to own a significant ownership interest in us, such services may not be available to us on terms acceptable to us, if at all.</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17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Drilling for oil and natural gas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operations may be curtailed, delayed or canceled as a result of unexpected drilling conditions, equipment failures or accidents, shortages of equipment or personnel, environmental issues and for other reasons. In addition, wells that are profitable may not meet our internal return targets, which are dependent upon the current and expected future market prices for oil and natural gas, expected costs associated with producing oil and natural gas and our ability to add reserves at an acceptable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successfully identify, complete and integrate future acquisitions of properties or businesses could reduce our earnings and slow our growth.</w:t>
      </w: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is intense competition for acquisition opportunities in our industry. 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Completed acquisitions could require us to invest further in operational, financial and management information systems and to attract, retain, motivate and effectively manage additional employees. The inability to effectively manage the integration of acquisitions could reduce our focus on subsequent acquisitions and current operations, which, in turn, could negatively impact our earnings and growth. Our financial position and results of operations may fluctuate significantly from period to period, based on whether or not significant acquisitions are completed in particular periods.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intensely competitive, and we compete with other companies that have greater resources than us.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will be subject to certain requirements of Section 404 of the Sarbanes-Oxley Act. If we are unable to timely comply with Section 404 or if the costs related to compliance are significant, our profitability, stock price and results of operations and financial condition could be materially adversely affected.</w:t>
      </w:r>
    </w:p>
    <w:p>
      <w:pPr>
        <w:spacing w:after="0" w:line="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will be required to comply with certain provisions of Section 404 of the Sarbanes-Oxley Act of 2002 as of December 31, 2013.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and when we become a large accelerated filer, as defined in the SEC rules, or if we otherwise cease to qualify for an exemption from the requirement to provide auditors’ attestation on internal controls afforded to emerging growth companies under the “Jumpstart Our Business Startups Act” enacted by the U.S. Congress in April 2012. We are currently evaluating our existing controls against the standards adopted by the Committee of Sponsoring Organizations of the Treadway Commission. During the course of our ongoing evaluation and integration of our internal control over financial reporting, we may identify areas requiring improvement, and we may have to design enhanced processes and controls to address issues identified through this review.</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out-of-pocket costs, the diversion of management’s attention from running the day-to-day operations and operational changes caused by the need to comply with the requirements of Section 404 of the Sarbanes-Oxley Act could be significant. If the time and costs associated with such compliance exceed our current expectations, our results of operations could be adversely affected.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be certain at this time that we will be able to successfully complete the procedures, certification and attestation requirements of Section 404 of the Sarbanes-Oxley Act or that we or our auditors will not identify material weaknesses in internal control over financial reporting. If we fail to comply with the requirements of Section 404 of the Sarbanes-Oxley Act or if we or our auditors identify and report such material weaknesses,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and operating results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recorded stock-based compensation expense in 2012 and we may incur substantial additional compensation expense related to our future grants of stock compensation which may have a material negative impact on our operating results for the foreseeable future.</w:t>
      </w:r>
    </w:p>
    <w:p>
      <w:pPr>
        <w:spacing w:after="0" w:line="1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outstanding stock-based compensation awards, we recorded $6.3 million of compensation expense in 2012. In addition, our compensation expenses may increase in the future as compared to our historical expenses because of the costs associated with our existing and possible future incentive plans. These additional expenses could adversely affect our net income. The future expense will be dependent upon the number of share-based awards issued and the fair value of the options or shares of common stock at the date of the grant; however, they may be significant. We will recognize expenses for restricted stock awards and stock options generally over the vesting period of awards made to recipients.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may increase and reduce our financial flexibility.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2013, we had $36.5 million of borrowings outstanding under our revolving credit facility. In the future, we may incur significant additional indebtedness in order to make acquisitions, to develop our properties or for other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indebtedness could affect our operations in several ways, including the following:</w:t>
      </w:r>
    </w:p>
    <w:p>
      <w:pPr>
        <w:spacing w:after="0" w:line="11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high level of debt could increase our vulnerability to general adverse economic and industry conditions;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will limit our ability to borrow additional funds, dispose of assets, pay dividends and make certain investments;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covenants may also affect our flexibility in planning for, and reacting to, changes in the economy and in our industry;</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high level of debt may make it more likely that a reduction in our borrowing base following a periodic redetermination could require us to repay a portion of our then-outstanding bank borrowings;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high level of debt may impair our ability to obtain additional financing in the future for working capital, capital expenditures, acquisitions, general corporate or other purposes.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 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revolving credit facility contains restrictive covenants that may limit our ability to respond to changes in market conditions or pursue business opportunities.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revolving credit facility contains restrictive covenants that limit our ability to, among other things:</w:t>
      </w:r>
    </w:p>
    <w:p>
      <w:pPr>
        <w:spacing w:after="0" w:line="11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additional liens;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swap agreements.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our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restrictions and covenants in our revolving credit facility, there could be an event of default under the terms of our revolving credit facility, which could result in an acceleration of repayment.</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we are unable to comply with the restrictions and covenants in our revolving credit facility, there could be an event of default under the terms of this facility. Our ability to comply with these restrictions and covenants, including meeting the financial ratios and tests under our revolving credit facility, may be affected by events beyond our control. As a result, we cannot assure that we will be able to comply with these restrictions and covenants or meet such financial ratios and tests. In the event of a default under our revolving credit facility, the lenders under such facility could terminate their commitments to lend or accelerate the loans and declare all amounts borrowed due and payable. If any of these events occur, our assets might not be sufficient to repay in full all of our outstanding indebtedness and we may be unable to find alternative financing. Even if we could obtain alternative financing, it might not be on terms that are favorable or acceptable to us. Additionally, we may not be able to amend our revolving credit facility or obtain needed waivers on satisfactory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borrowings under our revolving credit facility expose us to interest rate risk.</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earnings are exposed to interest rate risk associated with borrowings under our revolving credit facility, which bear interest at a rate elected by us that is based on the prime, LIBOR or federal funds rate plus margins ranging from 1.25% to 3.50% depending on the base rate used and the amount of the loan outstanding in relation to the borrowing base. As of March 31, 2013, the weighted average interest rate on such borrowings was 3.71%. If interest rates increase, so will our interest costs, which may have a material adverse effect on our results of operations and financial condition.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significant reduction in our borrowing base under our revolving credit facility as a result of the periodic borrowing base redeterminations or otherwise may negatively impact our ability to fund our operations.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our revolving credit facility, which currently provides for a $135.0 million borrowing base, we are subject to semi-annual and other elective collateral borrowing base redeterminations based on our oil and natural gas reserves. Any significant reduction in our borrowing base as a result of such borrowing base redeterminations or otherwise may negatively impact our liquidity and our ability to fund our operations and, as a result, may have a material adverse effect on our financial position, results of operation and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two largest stockholders control a significant percentage of our common stock, and their interests may conflict with those of our other stockholders.</w:t>
      </w: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completion of this offering, Wexford and Gulfport (assuming neither Wexford nor Gulfport or any of their respective affiliates makes any additional purchases of our common stock) will beneficially own approximately % and %, respectively, of our common stock or % and %, respectively, if the underwriters exercise their option to purchase additional shares in full. See “</w:t>
      </w:r>
      <w:r>
        <w:rPr>
          <w:rFonts w:ascii="Arial" w:cs="Arial" w:eastAsia="Arial" w:hAnsi="Arial"/>
          <w:sz w:val="16"/>
          <w:szCs w:val="16"/>
          <w:i w:val="1"/>
          <w:iCs w:val="1"/>
          <w:color w:val="auto"/>
        </w:rPr>
        <w:t>Principal Stockholders</w:t>
      </w:r>
      <w:r>
        <w:rPr>
          <w:rFonts w:ascii="Arial" w:cs="Arial" w:eastAsia="Arial" w:hAnsi="Arial"/>
          <w:sz w:val="16"/>
          <w:szCs w:val="16"/>
          <w:color w:val="auto"/>
        </w:rPr>
        <w:t>” on page 73 of this prospectus. In addition, individuals affiliated with Wexford and Gulfport serve on our Board of Directors, and Gulfport has the right to designate one individual as a nominee for election to our Board of Directors so long as it continues to beneficially own more than 10% of our outstanding common stock. As a result, Wexford and Gulfport, together, are able to control, and Wexford alone will continue to be able to exercise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Wexford and Gulfport with respect to matters potentially or actually involving or affecting us, such as future acquisitions, financings and other corporate opportunities and attempts to acquire us, may conflict with the interests of our other stockholders. This continued concentrated ownership will make it impossible for another company to acquire us and for you to receive any related takeover premium for your shares unless Wexford approves the acquisition.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Wexford, our equity sponsor, or other affiliates of ours to benefit from corporate opportunities that might otherwise be available to us.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11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permits us to enter into transactions with entities in which one or more of our officers or directors are financially or otherwise interested;</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6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engaged in transactions and expect to continue to engage in transactions with affiliated companies. As described under the caption “</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beginning on page 69 of this prospectus, these transactions include, among others, drilling services provided to us by Bison Drilling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Field Services, LLC, real property leased by us from Fasken Midland, LLC and certain administrative services provided to us by Everest Operations Management LLC. Each of these entities is either controlled by or affiliated with Wexford, and the resolution of any conflicts that may arise in connection with such related party transactions, including pricing, duration or other terms of service, may not always be in our or our stockholders’ best interests because Wexford may have the ability to influence the outcome of these conflicts. For a discussion of potential conflicts, see “</w:t>
      </w:r>
      <w:r>
        <w:rPr>
          <w:rFonts w:ascii="Arial" w:cs="Arial" w:eastAsia="Arial" w:hAnsi="Arial"/>
          <w:sz w:val="17"/>
          <w:szCs w:val="17"/>
          <w:i w:val="1"/>
          <w:iCs w:val="1"/>
          <w:color w:val="auto"/>
        </w:rPr>
        <w:t>—Risks Related to this Offering and our</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 – Our two largest stockholders control a significant percentage of our common stock, and their interests may conflict with those of our other stockholders</w:t>
      </w:r>
      <w:r>
        <w:rPr>
          <w:rFonts w:ascii="Arial" w:cs="Arial" w:eastAsia="Arial" w:hAnsi="Arial"/>
          <w:sz w:val="17"/>
          <w:szCs w:val="17"/>
          <w:color w:val="auto"/>
        </w:rPr>
        <w:t>” on page 31 of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 which may significantly affect our financial condition.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completed our initial public offering in October 2012. As a public company, we incur significant legal, accounting and other expenses that we did not incur as a private company. We also incur costs associated with our public company reporting requirements and with corporate governance requirements, including requirements under the Sarbanes-Oxley Act of 2002, as well as rules implemented by the SEC and the Financial Industry Regulatory Authority. These rules and regulations will increase our legal and financial compliance costs and make some activities more time-consuming and costly, and we expect that these costs may increase further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However, for as long as we remain an “emerging growth company” as defined in the Jumpstart Our Business Startups Act of 2012,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until we are no longer an “emerging growth company.”</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remain an “emerging growth company” for up to five years, although if the market value of our common stock that is held by non-affiliates exceeds $700 million as of any June 30 before that time, we would cease to be an “emerging growth company” as of the following December 31.</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After we are no longer an “emerging growth company,” we expect to incur significant additional expenses and devote substantial management effort toward ensuring compliance with those requirements applicable to companies that are not “emerging growth companies,” including Section 404 of the Sarbanes-Oxley Act. See “</w:t>
      </w:r>
      <w:r>
        <w:rPr>
          <w:rFonts w:ascii="Arial" w:cs="Arial" w:eastAsia="Arial" w:hAnsi="Arial"/>
          <w:sz w:val="17"/>
          <w:szCs w:val="17"/>
          <w:i w:val="1"/>
          <w:iCs w:val="1"/>
          <w:color w:val="auto"/>
        </w:rPr>
        <w:t>—Risks Related to the Oil and Natural Gas Industry and Our Business—We will be subject to certain requirements of Section 404</w:t>
      </w:r>
      <w:r>
        <w:rPr>
          <w:rFonts w:ascii="Arial" w:cs="Arial" w:eastAsia="Arial" w:hAnsi="Arial"/>
          <w:sz w:val="17"/>
          <w:szCs w:val="17"/>
          <w:color w:val="auto"/>
        </w:rPr>
        <w:t xml:space="preserve"> </w:t>
      </w:r>
      <w:r>
        <w:rPr>
          <w:rFonts w:ascii="Arial" w:cs="Arial" w:eastAsia="Arial" w:hAnsi="Arial"/>
          <w:sz w:val="17"/>
          <w:szCs w:val="17"/>
          <w:i w:val="1"/>
          <w:iCs w:val="1"/>
          <w:color w:val="auto"/>
        </w:rPr>
        <w:t>of the Sarbanes-Oxley Act. If we are unable to timely comply with Section 404 or if the costs related to compliance are significant, our profitability, stock price and results of operations and financial condition could be materially adversely affected</w:t>
      </w:r>
      <w:r>
        <w:rPr>
          <w:rFonts w:ascii="Arial" w:cs="Arial" w:eastAsia="Arial" w:hAnsi="Arial"/>
          <w:sz w:val="17"/>
          <w:szCs w:val="17"/>
          <w:color w:val="auto"/>
        </w:rPr>
        <w:t>” on page 28 of this prospectus.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we may take advantage of certain exemptions from various reporting requirements that are applicable to other public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Investors may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Jumpstart Our Business Startups Act, “emerging growth companies” can delay adopting new or revised accounting standards until such time as those standards apply to private companies. We have irrevocably elected not to avail ourselves to this exemption from new or revised accounting standards and, therefore, we will be subject to the same new or revised accounting standards as other public companies that are not “emerging growth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may occur, could cause the market price of our common stock to decline.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beginning on page 79 of this prospectus. In addition, the sale of these shares could impair our ability to raise capital through the sale of additional common or preferred stock. Except for any shares purchased by our affiliates, all of the shares sold in our initial public offering are, and all of the shares sold in this offering will be, freely tradable. Our directors and executive officers and DB Holdings are subject to agreements that limit their ability to sell our common stock held by them. These holders cannot sell or otherwise dispose of any shares of our common stock for a period of at least 90 days, or 60 days with respect to DB Holdings, after the date of this prospectus, which period may be extended under limited circumstances, without the prior written approval of Credit Suisse Securities (USA) LLC. However, these lock-up agreements are subject to certain specific exceptions, including transfers of common stock as a bona fide gift or by will or intestate succession and transfers to such person’s immediate family or to a trust or to an entity controlled by such holder, provided that the recipient of the shares agrees to be bound by the same restrictions on sales. We have also granted DB Holdings and Gulfport certain registration rights obligating us to register with the SEC their shares of our common stock. In the event that one or more of our stockholders sells a substantial amount of our common stock in the public market, or the market perceives that such sales may occur, the price of our stock could decline.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73"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3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authorization given to our board of directors to issue and set the terms of preferred stock without the approval of our stockholders.</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common stock in the foreseeable future, and therefore only appreciation of the price of our common stock will provide a return to our stockholders.</w:t>
      </w:r>
    </w:p>
    <w:p>
      <w:pPr>
        <w:spacing w:after="0" w:line="1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currently anticipate that we will retain all future earnings, if any, to finance the growth and development of our business. We do not intend to pay cash dividends in the foreseeable future. Any future determination as to the declaration and payment of cash dividends will be at the discretion of our board of directors and will depend upon our financial condition, results of operations, contractual restrictions, capital requirements, business prospects and other factors deemed relevant by our board of directors. In addition, the terms of our revolving credit facility prohibit us from paying dividends and making other distributions. As a result, only appreciation of the price of our common stock, which may not occur, will provide a return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prospectus, including the documents incorporated by reference, contains forward-looking statements. These forward-looking statements are subject to a number of risks and uncertainties, many of which are beyond our control, which may include statements about our:</w:t>
      </w:r>
    </w:p>
    <w:p>
      <w:pPr>
        <w:spacing w:after="0" w:line="6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of these types of statements, other than statements of historical fact included or incorporated by reference in this prospectus, are forward-looking statements. These forward-looking statements may be found in the “</w:t>
      </w:r>
      <w:r>
        <w:rPr>
          <w:rFonts w:ascii="Arial" w:cs="Arial" w:eastAsia="Arial" w:hAnsi="Arial"/>
          <w:sz w:val="16"/>
          <w:szCs w:val="16"/>
          <w:i w:val="1"/>
          <w:iCs w:val="1"/>
          <w:color w:val="auto"/>
        </w:rPr>
        <w:t>Prospectus Summary</w:t>
      </w:r>
      <w:r>
        <w:rPr>
          <w:rFonts w:ascii="Arial" w:cs="Arial" w:eastAsia="Arial" w:hAnsi="Arial"/>
          <w:sz w:val="16"/>
          <w:szCs w:val="16"/>
          <w:color w:val="auto"/>
        </w:rPr>
        <w:t>,”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Business</w:t>
      </w:r>
      <w:r>
        <w:rPr>
          <w:rFonts w:ascii="Arial" w:cs="Arial" w:eastAsia="Arial" w:hAnsi="Arial"/>
          <w:sz w:val="16"/>
          <w:szCs w:val="16"/>
          <w:color w:val="auto"/>
        </w:rPr>
        <w:t>” beginning on pages 1, 13 and 47, respectively,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for the year ended December 31, 2012 incorporated by reference herein and elsewhere in this prospectus and the documents incorporated herein. In some cases, you can identify forward-looking statements by terminology such as “may,” “could,” “should,” “expect,” “plan,” “project,” “intend,” “anticipate,” “believe,” “estimate,” “predict,” “potential,” “pursue,” “target,” “seek,” “objective” or “continue,” the negative of such terms or other comparable terminology.</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forward-looking statements contained or incorporated by reference in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our management’s assumptions about future events may prove to be inaccurate. Our management cautions all readers that the forward-looking statements contained in this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many factors including those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herein and in our Annual Report on Form 10-K for the year ended December 31, 2012 incorporated by reference herein and elsewhere in this prospectus. All forward-looking statements contained in this prospectus or included in a document incorporated by reference herein speak only as of the date hereof or thereof, respectively. We do not intend to publicly update or revise any forward-looking statements as a result of new information, future events or otherwise. These cautionary statements qualify all forward-looking statements attributable to us or persons acting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net proceeds from the sale of shares of common stock in this offering, with an aggregate value of approximately $100.0 million, are estimated to be approximately $95.3 million, after deducting underwriting discounts and commissions and estimated offering expenses. The net proceeds would be approximately $109.6 million if the underwriters’ option to purchase additional shares is exercised in full. Following the closing of this offering, we intend to use the net proceeds to repay in full all borrowings outstanding under our revolving credit facility, which as of March 31, 2013 were $36.5 million, and to fund a portion of our exploration and development activities and for general corporate purposes, which may include leasehold interest and property acquisitions and working capital.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borrowings under our revolving credit facility are due and payable on October 15, 2014. As of December 31, 2012, we had no borrowings outstanding under our revolving credit facility. At March 31, 2013, we had $36.5 million of borrowings outstanding under this facility which bore interest at a weighted average rate of 3.71% per annum. These borrowings were used to fund a portion of our exploration and development activities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and expansion of our business and do not anticipate declaring or paying any cash dividends in the foreseeable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other factors that our board of directors considers relevant. In addition, the terms of our revolving credit facility restrict the payment of dividends to the holders of our common stock and any other equity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2012:</w:t>
      </w:r>
    </w:p>
    <w:p>
      <w:pPr>
        <w:spacing w:after="0" w:line="11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adjusted to give effect to the sale of shares of our common stock in this offering with an aggregate value of approximately $100.0 million and our receipt of an estimated $95.3 million of net proceeds from this offering after deducting underwriting discounts and commissions and estimated offering expenses</w:t>
      </w:r>
      <w:r>
        <w:rPr>
          <w:rFonts w:ascii="Arial" w:cs="Arial" w:eastAsia="Arial" w:hAnsi="Arial"/>
          <w:sz w:val="18"/>
          <w:szCs w:val="18"/>
          <w:i w:val="1"/>
          <w:iCs w:val="1"/>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should read the following table in conjunction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combined consolidated financial statements and related notes which are incorporated by reference into this prospectus.</w:t>
      </w:r>
    </w:p>
    <w:p>
      <w:pPr>
        <w:spacing w:after="0" w:line="200" w:lineRule="exact"/>
        <w:rPr>
          <w:sz w:val="20"/>
          <w:szCs w:val="20"/>
          <w:color w:val="auto"/>
        </w:rPr>
      </w:pPr>
    </w:p>
    <w:p>
      <w:pPr>
        <w:spacing w:after="0" w:line="33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20"/>
                <w:szCs w:val="20"/>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26,358,000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121,608,000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Debt:</w:t>
            </w: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3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40"/>
              <w:spacing w:after="0"/>
              <w:rPr>
                <w:sz w:val="20"/>
                <w:szCs w:val="20"/>
                <w:color w:val="auto"/>
              </w:rPr>
            </w:pPr>
            <w:r>
              <w:rPr>
                <w:rFonts w:ascii="Arial" w:cs="Arial" w:eastAsia="Arial" w:hAnsi="Arial"/>
                <w:sz w:val="16"/>
                <w:szCs w:val="16"/>
                <w:color w:val="auto"/>
              </w:rPr>
              <w:t>Note payable</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338,000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338,000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338,000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338,000</w:t>
            </w:r>
          </w:p>
        </w:tc>
        <w:tc>
          <w:tcPr>
            <w:tcW w:w="0" w:type="dxa"/>
            <w:vAlign w:val="bottom"/>
          </w:tcPr>
          <w:p>
            <w:pPr>
              <w:spacing w:after="0"/>
              <w:rPr>
                <w:sz w:val="1"/>
                <w:szCs w:val="1"/>
                <w:color w:val="auto"/>
              </w:rPr>
            </w:pPr>
          </w:p>
        </w:tc>
      </w:tr>
      <w:tr>
        <w:trPr>
          <w:trHeight w:val="224"/>
        </w:trPr>
        <w:tc>
          <w:tcPr>
            <w:tcW w:w="732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par value $0.01; 100,000,000 shares authorized and 36,986,532 shares issued and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outstanding actual; and 100,000,000 shares authorized and shares issued and outstanding as</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adjusted</w:t>
            </w:r>
          </w:p>
        </w:tc>
        <w:tc>
          <w:tcPr>
            <w:tcW w:w="4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370,000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513,772,000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(52,074,000)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(52,074,000)</w:t>
            </w:r>
          </w:p>
        </w:tc>
        <w:tc>
          <w:tcPr>
            <w:tcW w:w="0" w:type="dxa"/>
            <w:vAlign w:val="bottom"/>
          </w:tcPr>
          <w:p>
            <w:pPr>
              <w:spacing w:after="0"/>
              <w:rPr>
                <w:sz w:val="1"/>
                <w:szCs w:val="1"/>
                <w:color w:val="auto"/>
              </w:rPr>
            </w:pPr>
          </w:p>
        </w:tc>
      </w:tr>
      <w:tr>
        <w:trPr>
          <w:trHeight w:val="217"/>
        </w:trPr>
        <w:tc>
          <w:tcPr>
            <w:tcW w:w="732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462,068,000</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557,318,000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462,406,000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557,656,000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34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March 31, 2013, there was $36.5 million of borrowings outstanding under our revolving credit facility. We intend to repay all borrowings outstanding under our revolving credit facility with a portion of the net proceeds from this offering.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is listed and traded on the NASDAQ Global Select Market under the symbol “FANG”. Our common stock began trading on October 12, 2012 at an initial public offering price of $17.50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range of high and low sales prices of our common stock for the periods presented:</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1920" w:type="dxa"/>
            <w:vAlign w:val="bottom"/>
            <w:gridSpan w:val="2"/>
          </w:tcPr>
          <w:p>
            <w:pPr>
              <w:ind w:left="640"/>
              <w:spacing w:after="0"/>
              <w:rPr>
                <w:sz w:val="20"/>
                <w:szCs w:val="20"/>
                <w:color w:val="auto"/>
              </w:rPr>
            </w:pPr>
            <w:r>
              <w:rPr>
                <w:rFonts w:ascii="Arial" w:cs="Arial" w:eastAsia="Arial" w:hAnsi="Arial"/>
                <w:sz w:val="18"/>
                <w:szCs w:val="18"/>
                <w:b w:val="1"/>
                <w:bCs w:val="1"/>
                <w:color w:val="auto"/>
              </w:rPr>
              <w:t>Year</w:t>
            </w:r>
          </w:p>
        </w:tc>
        <w:tc>
          <w:tcPr>
            <w:tcW w:w="2540" w:type="dxa"/>
            <w:vAlign w:val="bottom"/>
            <w:gridSpan w:val="2"/>
          </w:tcPr>
          <w:p>
            <w:pPr>
              <w:ind w:left="820"/>
              <w:spacing w:after="0"/>
              <w:rPr>
                <w:sz w:val="20"/>
                <w:szCs w:val="20"/>
                <w:color w:val="auto"/>
              </w:rPr>
            </w:pPr>
            <w:r>
              <w:rPr>
                <w:rFonts w:ascii="Arial" w:cs="Arial" w:eastAsia="Arial" w:hAnsi="Arial"/>
                <w:sz w:val="18"/>
                <w:szCs w:val="18"/>
                <w:b w:val="1"/>
                <w:bCs w:val="1"/>
                <w:color w:val="auto"/>
              </w:rPr>
              <w:t>Quarter</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High</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Low</w:t>
            </w:r>
          </w:p>
        </w:tc>
      </w:tr>
      <w:tr>
        <w:trPr>
          <w:trHeight w:val="27"/>
        </w:trPr>
        <w:tc>
          <w:tcPr>
            <w:tcW w:w="1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35"/>
        </w:trPr>
        <w:tc>
          <w:tcPr>
            <w:tcW w:w="1660" w:type="dxa"/>
            <w:vAlign w:val="bottom"/>
          </w:tcPr>
          <w:p>
            <w:pPr>
              <w:ind w:left="64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4</w:t>
            </w:r>
            <w:r>
              <w:rPr>
                <w:rFonts w:ascii="Arial" w:cs="Arial" w:eastAsia="Arial" w:hAnsi="Arial"/>
                <w:sz w:val="25"/>
                <w:szCs w:val="25"/>
                <w:color w:val="auto"/>
                <w:w w:val="85"/>
                <w:vertAlign w:val="superscript"/>
              </w:rPr>
              <w:t>th</w:t>
            </w:r>
            <w:r>
              <w:rPr>
                <w:rFonts w:ascii="Arial" w:cs="Arial" w:eastAsia="Arial" w:hAnsi="Arial"/>
                <w:sz w:val="18"/>
                <w:szCs w:val="18"/>
                <w:color w:val="auto"/>
                <w:w w:val="85"/>
              </w:rPr>
              <w:t xml:space="preserve"> Quarter</w:t>
            </w:r>
            <w:r>
              <w:rPr>
                <w:rFonts w:ascii="Arial" w:cs="Arial" w:eastAsia="Arial" w:hAnsi="Arial"/>
                <w:sz w:val="25"/>
                <w:szCs w:val="25"/>
                <w:color w:val="auto"/>
                <w:w w:val="85"/>
                <w:vertAlign w:val="superscript"/>
              </w:rPr>
              <w:t>(1)</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$19.89</w:t>
            </w:r>
          </w:p>
        </w:tc>
        <w:tc>
          <w:tcPr>
            <w:tcW w:w="2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$15.65</w:t>
            </w:r>
          </w:p>
        </w:tc>
      </w:tr>
      <w:tr>
        <w:trPr>
          <w:trHeight w:val="509"/>
        </w:trPr>
        <w:tc>
          <w:tcPr>
            <w:tcW w:w="1660" w:type="dxa"/>
            <w:vAlign w:val="bottom"/>
          </w:tcPr>
          <w:p>
            <w:pPr>
              <w:ind w:left="64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w:t>
            </w:r>
            <w:r>
              <w:rPr>
                <w:rFonts w:ascii="Arial" w:cs="Arial" w:eastAsia="Arial" w:hAnsi="Arial"/>
                <w:sz w:val="25"/>
                <w:szCs w:val="25"/>
                <w:color w:val="auto"/>
                <w:w w:val="87"/>
                <w:vertAlign w:val="superscript"/>
              </w:rPr>
              <w:t>st</w:t>
            </w:r>
            <w:r>
              <w:rPr>
                <w:rFonts w:ascii="Arial" w:cs="Arial" w:eastAsia="Arial" w:hAnsi="Arial"/>
                <w:sz w:val="18"/>
                <w:szCs w:val="18"/>
                <w:color w:val="auto"/>
                <w:w w:val="87"/>
              </w:rPr>
              <w:t xml:space="preserve"> Quarter</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$27.21</w:t>
            </w:r>
          </w:p>
        </w:tc>
        <w:tc>
          <w:tcPr>
            <w:tcW w:w="2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$18.60</w:t>
            </w:r>
          </w:p>
        </w:tc>
      </w:tr>
      <w:tr>
        <w:trPr>
          <w:trHeight w:val="259"/>
        </w:trPr>
        <w:tc>
          <w:tcPr>
            <w:tcW w:w="1660" w:type="dxa"/>
            <w:vAlign w:val="bottom"/>
          </w:tcPr>
          <w:p>
            <w:pPr>
              <w:ind w:left="64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2"/>
                <w:szCs w:val="22"/>
                <w:color w:val="auto"/>
              </w:rPr>
            </w:pPr>
          </w:p>
        </w:tc>
        <w:tc>
          <w:tcPr>
            <w:tcW w:w="2540" w:type="dxa"/>
            <w:vAlign w:val="bottom"/>
            <w:gridSpan w:val="2"/>
          </w:tcPr>
          <w:p>
            <w:pPr>
              <w:jc w:val="center"/>
              <w:ind w:right="140"/>
              <w:spacing w:after="0" w:line="259" w:lineRule="exact"/>
              <w:rPr>
                <w:sz w:val="20"/>
                <w:szCs w:val="20"/>
                <w:color w:val="auto"/>
              </w:rPr>
            </w:pPr>
            <w:r>
              <w:rPr>
                <w:rFonts w:ascii="Arial" w:cs="Arial" w:eastAsia="Arial" w:hAnsi="Arial"/>
                <w:sz w:val="18"/>
                <w:szCs w:val="18"/>
                <w:color w:val="auto"/>
                <w:w w:val="83"/>
              </w:rPr>
              <w:t>2</w:t>
            </w:r>
            <w:r>
              <w:rPr>
                <w:rFonts w:ascii="Arial" w:cs="Arial" w:eastAsia="Arial" w:hAnsi="Arial"/>
                <w:sz w:val="25"/>
                <w:szCs w:val="25"/>
                <w:color w:val="auto"/>
                <w:w w:val="83"/>
                <w:vertAlign w:val="superscript"/>
              </w:rPr>
              <w:t>nd</w:t>
            </w:r>
            <w:r>
              <w:rPr>
                <w:rFonts w:ascii="Arial" w:cs="Arial" w:eastAsia="Arial" w:hAnsi="Arial"/>
                <w:sz w:val="18"/>
                <w:szCs w:val="18"/>
                <w:color w:val="auto"/>
                <w:w w:val="83"/>
              </w:rPr>
              <w:t xml:space="preserve"> Quarter</w:t>
            </w:r>
            <w:r>
              <w:rPr>
                <w:rFonts w:ascii="Arial" w:cs="Arial" w:eastAsia="Arial" w:hAnsi="Arial"/>
                <w:sz w:val="25"/>
                <w:szCs w:val="25"/>
                <w:color w:val="auto"/>
                <w:w w:val="83"/>
                <w:vertAlign w:val="superscript"/>
              </w:rPr>
              <w:t>(2)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$27.97</w:t>
            </w:r>
          </w:p>
        </w:tc>
        <w:tc>
          <w:tcPr>
            <w:tcW w:w="26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$23.83</w:t>
            </w:r>
          </w:p>
        </w:tc>
      </w:tr>
    </w:tbl>
    <w:p>
      <w:pPr>
        <w:ind w:left="880"/>
        <w:spacing w:after="0"/>
        <w:rPr>
          <w:sz w:val="20"/>
          <w:szCs w:val="20"/>
          <w:color w:val="auto"/>
        </w:rPr>
      </w:pPr>
      <w:r>
        <w:rPr>
          <w:rFonts w:ascii="Arial" w:cs="Arial" w:eastAsia="Arial" w:hAnsi="Arial"/>
          <w:sz w:val="18"/>
          <w:szCs w:val="18"/>
          <w:color w:val="auto"/>
        </w:rPr>
        <w:t>_______________</w:t>
      </w:r>
    </w:p>
    <w:p>
      <w:pPr>
        <w:spacing w:after="0" w:line="7" w:lineRule="exact"/>
        <w:rPr>
          <w:sz w:val="20"/>
          <w:szCs w:val="20"/>
          <w:color w:val="auto"/>
        </w:rPr>
      </w:pPr>
    </w:p>
    <w:p>
      <w:pPr>
        <w:ind w:left="1300" w:hanging="414"/>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period from October 12, 2012, the date on which our common stock began trading on the NASDAQ Global Select Market, through December 31, 2012.</w:t>
      </w: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April 9, 2013.</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closing price of our common stock on the NASDAQ Global Select Market on April 9, 2013 was $26.76 per share. Immediately prior to this offering, we had issued and outstanding 36,986,532 shares of common stock, which were held by six holders of record. This number does not include owners for whom common stock may be held in “street” name or whose common stock is restricted.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COMBINED CONSOLIDATED FINANCIAL DATA</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selected historical combined consolidated financial data as of December 31, 2012 and 2011 and for each of the three years in the period ended December 31, 2012 are derived from our audited combined consolidated financial statements incorporated by reference into this prospectus. The selected combined consolidated balance sheet data as of December 31, 2010 and the selected historical combined consolidated financial data for 2009 and 2008 are derived from our audited financial statements of the Predecessors not included in or incorporated by reference into this prospectus. The unaudited pro forma C Corporation financial data presented give effect to income taxes assuming we operated as a taxable corporation since inception for the 2011, 2010, 2009 and 2008 columns and since December 31, 2011 for the 2012 column. Operating results for the periods ended December 31, 2012, 2011, 2010, 2009 and 2008 are not necessarily indicative of results that may be expected for any future periods. You should review this information together with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our historical combined consolidated financial statements and related notes which are incorporated by reference into this prospectus.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74,962,000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47,875,000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26,442,000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12,716,000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18,239,000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16,793,000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3,375,000</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Production taxes</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2,366,000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1,009,000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Gathering and 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53,000</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Oil and natural gas services</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1,733,000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Depreciation, depletion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26,273,000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10,200,000</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Impairment of oil and gas properties</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83,164,000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5,460,000</w:t>
            </w:r>
          </w:p>
        </w:tc>
      </w:tr>
      <w:tr>
        <w:trPr>
          <w:trHeight w:val="229"/>
        </w:trPr>
        <w:tc>
          <w:tcPr>
            <w:tcW w:w="3460" w:type="dxa"/>
            <w:vAlign w:val="bottom"/>
          </w:tcPr>
          <w:p>
            <w:pPr>
              <w:ind w:left="220"/>
              <w:spacing w:after="0"/>
              <w:rPr>
                <w:sz w:val="20"/>
                <w:szCs w:val="20"/>
                <w:color w:val="auto"/>
              </w:rPr>
            </w:pPr>
            <w:r>
              <w:rPr>
                <w:rFonts w:ascii="Arial" w:cs="Arial" w:eastAsia="Arial" w:hAnsi="Arial"/>
                <w:sz w:val="18"/>
                <w:szCs w:val="18"/>
                <w:color w:val="auto"/>
              </w:rPr>
              <w:t>Asset retirement obligation accretion</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460" w:type="dxa"/>
            <w:vAlign w:val="bottom"/>
          </w:tcPr>
          <w:p>
            <w:pPr>
              <w:ind w:left="44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24,000</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57,655,000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34,219,000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18,072,000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11,378,000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103,285,000</w:t>
            </w:r>
          </w:p>
        </w:tc>
      </w:tr>
      <w:tr>
        <w:trPr>
          <w:trHeight w:val="358"/>
        </w:trPr>
        <w:tc>
          <w:tcPr>
            <w:tcW w:w="34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17,307,000</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15,147,000</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9,181,000</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1,338,000</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(85,046,000)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625,000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(2,528,000)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2,132,000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(13,009,000)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(9,528,000)</w:t>
            </w:r>
          </w:p>
        </w:tc>
      </w:tr>
      <w:tr>
        <w:trPr>
          <w:trHeight w:val="243"/>
        </w:trPr>
        <w:tc>
          <w:tcPr>
            <w:tcW w:w="3460" w:type="dxa"/>
            <w:vAlign w:val="bottom"/>
          </w:tcPr>
          <w:p>
            <w:pPr>
              <w:ind w:left="220"/>
              <w:spacing w:after="0"/>
              <w:rPr>
                <w:sz w:val="20"/>
                <w:szCs w:val="20"/>
                <w:color w:val="auto"/>
              </w:rPr>
            </w:pPr>
            <w:r>
              <w:rPr>
                <w:rFonts w:ascii="Arial" w:cs="Arial" w:eastAsia="Arial" w:hAnsi="Arial"/>
                <w:sz w:val="18"/>
                <w:szCs w:val="18"/>
                <w:color w:val="auto"/>
              </w:rPr>
              <w:t>Loss from equity investment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(15,533,000)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(8,903,000)</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18,382,000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(386,000)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8,231,000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(2,706,000)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(93,949,000)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54,903,000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(36,521,000)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8,231,000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(2,706,000)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(93,949,000)</w:t>
            </w: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9"/>
        </w:trPr>
        <w:tc>
          <w:tcPr>
            <w:tcW w:w="3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70"/>
        </w:trPr>
        <w:tc>
          <w:tcPr>
            <w:tcW w:w="3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Pro Forma C Corporation Data</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18,382,000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8,231,000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(2,706,000)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(93,949,000)</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6,553,000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 forma 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11,829,000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8,231,000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(2,706,000)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(93,949,000)</w:t>
            </w:r>
          </w:p>
        </w:tc>
      </w:tr>
      <w:tr>
        <w:trPr>
          <w:trHeight w:val="257"/>
        </w:trPr>
        <w:tc>
          <w:tcPr>
            <w:tcW w:w="34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Pro forma earnings per common share</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3460" w:type="dxa"/>
            <w:vAlign w:val="bottom"/>
          </w:tcPr>
          <w:p>
            <w:pPr>
              <w:ind w:left="40"/>
              <w:spacing w:after="0" w:line="27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19,720,734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19,723,774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jc w:val="right"/>
              <w:ind w:right="226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Table of Contents</w:t>
              </w:r>
            </w:hyperlink>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0"/>
              <w:spacing w:after="0" w:line="264" w:lineRule="exact"/>
              <w:rPr>
                <w:sz w:val="20"/>
                <w:szCs w:val="20"/>
                <w:color w:val="auto"/>
              </w:rPr>
            </w:pPr>
            <w:r>
              <w:rPr>
                <w:rFonts w:ascii="Arial" w:cs="Arial" w:eastAsia="Arial" w:hAnsi="Arial"/>
                <w:sz w:val="18"/>
                <w:szCs w:val="18"/>
                <w:b w:val="1"/>
                <w:bCs w:val="1"/>
                <w:color w:val="auto"/>
                <w:w w:val="86"/>
              </w:rPr>
              <w:t>2010</w:t>
            </w:r>
            <w:r>
              <w:rPr>
                <w:rFonts w:ascii="Arial" w:cs="Arial" w:eastAsia="Arial" w:hAnsi="Arial"/>
                <w:sz w:val="25"/>
                <w:szCs w:val="25"/>
                <w:b w:val="1"/>
                <w:bCs w:val="1"/>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34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Selected Cash Flow and Other Financial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Data:</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(36,521,000)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8,231,000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(2,706,000)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(93,949,000)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10,200,000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Other non-cash items</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56,390,000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13,845,000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4,109,000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92,715,000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(11,528,000)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3,076,000</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49,692,000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30,998,000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5,192,000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2,702,000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12,042,000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(183,078,000)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(55,236,000)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(84,197,000)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152,785,000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52,950,000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51,733,000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23,849,000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80,183,000</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0"/>
              <w:spacing w:after="0" w:line="264" w:lineRule="exact"/>
              <w:rPr>
                <w:sz w:val="20"/>
                <w:szCs w:val="20"/>
                <w:color w:val="auto"/>
              </w:rPr>
            </w:pPr>
            <w:r>
              <w:rPr>
                <w:rFonts w:ascii="Arial" w:cs="Arial" w:eastAsia="Arial" w:hAnsi="Arial"/>
                <w:sz w:val="18"/>
                <w:szCs w:val="18"/>
                <w:b w:val="1"/>
                <w:bCs w:val="1"/>
                <w:color w:val="auto"/>
                <w:w w:val="86"/>
              </w:rPr>
              <w:t>2010</w:t>
            </w:r>
            <w:r>
              <w:rPr>
                <w:rFonts w:ascii="Arial" w:cs="Arial" w:eastAsia="Arial" w:hAnsi="Arial"/>
                <w:sz w:val="25"/>
                <w:szCs w:val="25"/>
                <w:b w:val="1"/>
                <w:bCs w:val="1"/>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26,358,000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6,959,000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4,119,000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2,430,000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8,029,000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23,917,000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20,947,000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1,390,000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6"/>
              </w:rPr>
              <w:t>Oil and gas properties, net — using full cost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method of accounting</w:t>
            </w:r>
          </w:p>
        </w:tc>
        <w:tc>
          <w:tcPr>
            <w:tcW w:w="2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552,640,000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220,465,000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144,552,000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89,778,000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73,786,000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Well equipment to be used in development of</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oil and gas properties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5,413,000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8,503,000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Other property and equipment, net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684,000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11,059,000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161,000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11,617,000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606,701,000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263,578,000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181,315,000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100,073,000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91,869,000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79,232,000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42,298,000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18,012,000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Note payable-long term</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 payable credit facility-long term</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44,767,000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Derivative instruments-long term</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6,139,000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1,374,000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1,416,000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2,868,000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374,000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62,695,000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462,068,000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129,037,000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115,362,000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84,202,000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70,615,000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2"/>
          </w:tcPr>
          <w:p>
            <w:pPr>
              <w:ind w:left="460"/>
              <w:spacing w:after="0"/>
              <w:rPr>
                <w:sz w:val="20"/>
                <w:szCs w:val="20"/>
                <w:color w:val="auto"/>
              </w:rPr>
            </w:pPr>
            <w:r>
              <w:rPr>
                <w:rFonts w:ascii="Arial" w:cs="Arial" w:eastAsia="Arial" w:hAnsi="Arial"/>
                <w:sz w:val="18"/>
                <w:szCs w:val="18"/>
                <w:color w:val="auto"/>
              </w:rPr>
              <w:t>Total liabilities and</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606,701,000</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263,578,000</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181,315,000</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100,073,000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91,869,000</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0"/>
                <w:szCs w:val="20"/>
                <w:color w:val="auto"/>
              </w:rPr>
            </w:pPr>
          </w:p>
        </w:tc>
        <w:tc>
          <w:tcPr>
            <w:tcW w:w="3420" w:type="dxa"/>
            <w:vAlign w:val="bottom"/>
            <w:gridSpan w:val="2"/>
          </w:tcPr>
          <w:p>
            <w:pPr>
              <w:ind w:left="680"/>
              <w:spacing w:after="0"/>
              <w:rPr>
                <w:sz w:val="20"/>
                <w:szCs w:val="20"/>
                <w:color w:val="auto"/>
              </w:rPr>
            </w:pPr>
            <w:r>
              <w:rPr>
                <w:rFonts w:ascii="Arial" w:cs="Arial" w:eastAsia="Arial" w:hAnsi="Arial"/>
                <w:sz w:val="18"/>
                <w:szCs w:val="18"/>
                <w:color w:val="auto"/>
              </w:rPr>
              <w:t>member’s/stockholders’ equity</w:t>
            </w:r>
          </w:p>
        </w:tc>
        <w:tc>
          <w:tcPr>
            <w:tcW w:w="2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2012</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0"/>
              <w:spacing w:after="0" w:line="264" w:lineRule="exact"/>
              <w:rPr>
                <w:sz w:val="20"/>
                <w:szCs w:val="20"/>
                <w:color w:val="auto"/>
              </w:rPr>
            </w:pPr>
            <w:r>
              <w:rPr>
                <w:rFonts w:ascii="Arial" w:cs="Arial" w:eastAsia="Arial" w:hAnsi="Arial"/>
                <w:sz w:val="18"/>
                <w:szCs w:val="18"/>
                <w:b w:val="1"/>
                <w:bCs w:val="1"/>
                <w:color w:val="auto"/>
                <w:w w:val="86"/>
              </w:rPr>
              <w:t>2010</w:t>
            </w:r>
            <w:r>
              <w:rPr>
                <w:rFonts w:ascii="Arial" w:cs="Arial" w:eastAsia="Arial" w:hAnsi="Arial"/>
                <w:sz w:val="25"/>
                <w:szCs w:val="25"/>
                <w:b w:val="1"/>
                <w:bCs w:val="1"/>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34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48,223,000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31,864,000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17,398,000</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4,617,000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8,967,000</w:t>
            </w:r>
          </w:p>
        </w:tc>
        <w:tc>
          <w:tcPr>
            <w:tcW w:w="0" w:type="dxa"/>
            <w:vAlign w:val="bottom"/>
          </w:tcPr>
          <w:p>
            <w:pPr>
              <w:spacing w:after="0"/>
              <w:rPr>
                <w:sz w:val="1"/>
                <w:szCs w:val="1"/>
                <w:color w:val="auto"/>
              </w:rPr>
            </w:pPr>
          </w:p>
        </w:tc>
      </w:tr>
      <w:tr>
        <w:trPr>
          <w:trHeight w:val="219"/>
        </w:trPr>
        <w:tc>
          <w:tcPr>
            <w:tcW w:w="3540" w:type="dxa"/>
            <w:vAlign w:val="bottom"/>
            <w:gridSpan w:val="3"/>
          </w:tcPr>
          <w:p>
            <w:pPr>
              <w:jc w:val="right"/>
              <w:ind w:right="2240"/>
              <w:spacing w:after="0"/>
              <w:rPr>
                <w:sz w:val="20"/>
                <w:szCs w:val="20"/>
                <w:color w:val="auto"/>
              </w:rPr>
            </w:pPr>
            <w:r>
              <w:rPr>
                <w:rFonts w:ascii="Arial" w:cs="Arial" w:eastAsia="Arial" w:hAnsi="Arial"/>
                <w:sz w:val="18"/>
                <w:szCs w:val="18"/>
                <w:color w:val="auto"/>
                <w:w w:val="98"/>
              </w:rPr>
              <w:t>_____________</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340" w:hanging="332"/>
        <w:spacing w:after="0" w:line="21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year ended December 31, 2012 reflects (a) the combined historical financial data of Windsor Permian LLC and Windsor UT LLC due to the transfer of a business between entities under common control and (b) the results of operations attributable to the acquisition of properties from Gulfport Energy Corporation beginning October 11, 2012, the closing date of the property acquisition. See Note 1 and Note 2 to our combined consolidated financial statements incorporated by reference into this prospectus.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both"/>
        <w:ind w:left="340" w:hanging="332"/>
        <w:spacing w:after="0" w:line="22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years ended December 31, 2011 and 2010 reflect the combined historical financial data of Windsor Permian LLC and Windsor UT LLC due to the transfer of a business between entities under common control. See Note 1 to our combined consolidated financial statements incorporated by reference into this prospectus.</w:t>
      </w:r>
    </w:p>
    <w:p>
      <w:pPr>
        <w:spacing w:after="0" w:line="14"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Diamondback was formed as a holding company on December 30, 2011, and did not conduct any material business operations until October 11, 2012 when Diamondback merged with its parent entity, Diamondback Energy LLC, with Diamondback continuing as the surviving entity. Diamondback is a C-Corp under the Internal Revenue Code and is subject to income taxes. The Company computed a pro forma income tax provision for 2012 as if the Company and the Predecessors were subject to income taxes since December 31, 2011. For 2011, 2010, 2009 and 2008 comparative purposes, we have included pro forma financial data to give effect to income taxes assuming the earnings of the Company and the Predecessors had been subject to federal income tax as a subchapter C corporation since inception. If the earnings of the Company and the Predecessors had been subject to federal income tax as a subchapter C corporation since inception, we would have incurred net operating losses for income tax purposes in each period. We would have been in a net deferred tax asset, or DTA, position as a result of such tax losses and would have recorded a valuation allowance to reduce each period’s DTA balance to zero. A valuation allowance to reduce each period’s DTA would have resulted in an equal and offsetting credit for the respective expenses or an equal and offsetting debit for the respective benefits for income taxes, with the resulting tax expenses for each 2011 and 2010 of zero. The unaudited pro forma data is presented for informational purposes only, and does not purport to project our results of operations for any future period or our financial position as of any future date. The pro forma tax provision has been calculated at a rate based upon a federal corporate level tax rate and a state tax rate, net of federal benefit, incorporating permanent differences. See Note 1 to our combined consolidated financial statements incorporated by reference into this prospectus.</w:t>
      </w:r>
    </w:p>
    <w:p>
      <w:pPr>
        <w:spacing w:after="0" w:line="23"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Company’s pro forma basic earnings per share amounts have been computed based on the weighted-average number of shares of common stock outstanding for the period, as if the common shares issued upon the merger of Diamondback Energy LLC into Diamondback were outstanding for the entire year. Diluted earnings per share reflects the potential dilution, using the treasury stock method, which assumes that options were exercised and restricted stock awards and units were fully vested. During periods in which the Company realizes a net loss, options and restricted stock awards would not be dilutive to net loss per share and conversion into common stock is assumed not to occur. See Note 1 to our combined consolidated financial statements incorporated by reference into this prospectus.</w:t>
      </w:r>
    </w:p>
    <w:p>
      <w:pPr>
        <w:spacing w:after="0" w:line="16" w:lineRule="exact"/>
        <w:rPr>
          <w:rFonts w:ascii="Arial" w:cs="Arial" w:eastAsia="Arial" w:hAnsi="Arial"/>
          <w:sz w:val="17"/>
          <w:szCs w:val="17"/>
          <w:color w:val="auto"/>
        </w:rPr>
      </w:pPr>
    </w:p>
    <w:p>
      <w:pPr>
        <w:jc w:val="both"/>
        <w:ind w:left="340" w:hanging="332"/>
        <w:spacing w:after="0" w:line="26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is a supplemental non-GAAP financial measure that is used by management and external users of our financial statements, such as industry analysts, investors, lenders and rating agencies. We define Adjusted EBITDA as net income (loss) before income taxes, gain/loss on derivative instruments, interest expense, depreciation, depletion and amortization, impairment of oil and gas properties, non-cash equity based compensation and asset retirement obligation accretion expense. Adjusted EBITDA is not a measure of net income (loss) as determined by United States’ generally accepted accounting principles, or GAAP. Management believes Adjusted EBITDA is useful because it allows it to more effectively evaluate our operating performance and compare the results of our operations from period to period without regard to our financing methods or capital structure.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revolving credit facility.</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presents a reconciliation of the non-GAAP financial measure of Adjusted EBITDA to the GAAP financial measure of net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42"/>
        </w:trPr>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2008</w:t>
            </w:r>
          </w:p>
        </w:tc>
      </w:tr>
      <w:tr>
        <w:trPr>
          <w:trHeight w:val="27"/>
        </w:trPr>
        <w:tc>
          <w:tcPr>
            <w:tcW w:w="34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(93,949,000)</w:t>
            </w:r>
          </w:p>
        </w:tc>
      </w:tr>
      <w:tr>
        <w:trPr>
          <w:trHeight w:val="243"/>
        </w:trPr>
        <w:tc>
          <w:tcPr>
            <w:tcW w:w="3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(Gain) loss on derivative instruments</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(2,617,000)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13,009,000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4,068,000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9,528,000</w:t>
            </w:r>
          </w:p>
        </w:tc>
      </w:tr>
      <w:tr>
        <w:trPr>
          <w:trHeight w:val="27"/>
        </w:trPr>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26,273,000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16,104,000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8,145,000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3,216,000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10,200,000</w:t>
            </w:r>
          </w:p>
        </w:tc>
      </w:tr>
      <w:tr>
        <w:trPr>
          <w:trHeight w:val="27"/>
        </w:trPr>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 of oil and gas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83,164,000</w:t>
            </w:r>
          </w:p>
        </w:tc>
      </w:tr>
      <w:tr>
        <w:trPr>
          <w:trHeight w:val="229"/>
        </w:trPr>
        <w:tc>
          <w:tcPr>
            <w:tcW w:w="34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Non-cash equity based compensation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2,477,000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Asset retirement obligation accretion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r>
      <w:tr>
        <w:trPr>
          <w:trHeight w:val="243"/>
        </w:trPr>
        <w:tc>
          <w:tcPr>
            <w:tcW w:w="340" w:type="dxa"/>
            <w:vAlign w:val="bottom"/>
          </w:tcPr>
          <w:p>
            <w:pPr>
              <w:spacing w:after="0"/>
              <w:rPr>
                <w:sz w:val="21"/>
                <w:szCs w:val="21"/>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Deferred income tax provision</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54,903,000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48,223,000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31,864,000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17,398,000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4,617,000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8,967,000</w:t>
            </w: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7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00"/>
          </w:cols>
          <w:pgMar w:left="240" w:top="108" w:right="4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CONSOLIDATED FINANCIAL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Consolidated Financial Statement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following unaudited pro forma condensed consolidated statement of operations and related notes of the Company have been prepared to show the effect of the Gulfport transaction and the distribution by Windsor Permian to its equity holders of its minority equity interests in Bison and Muskie. The unaudited pro forma condensed consolidated statement of operations should be read together with the Company’s Annual Report on Form 10-K for the year ended December 31, 2012, filed with the SEC on March 1, 2013 and the historical Statements of Revenues and Direct Operating Expenses of certain property interests of Gulfport Energy Corporation included in this prospectus. The accompanying unaudited pro forma condensed consolidated statement of operations is based on assumptions and include adjustments as explained in the accompanying notes.</w:t>
      </w:r>
    </w:p>
    <w:p>
      <w:pPr>
        <w:spacing w:after="0" w:line="138"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acquisition of certain property interests of Gulfport Energy Corporation (the Gulfport properties) was treated as a business combination accounted for under the acquisition method of accounting with the identifiable assets recognized at fair value on the date of transfer.</w:t>
      </w:r>
    </w:p>
    <w:p>
      <w:pPr>
        <w:spacing w:after="0" w:line="10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pro forma data presented reflect events directly attributable to the described transactions and certain assumptions the Company believes are reasonable. The pro forma data are not necessarily indicative of financial results that would have been attained had the described transactions occurred on the dates indicated below. The pro forma data also necessarily exclude various operation expenses related to the Gulfport properties and the statement of operations should not be viewed as indicative of operations in future periods. As the current operator of the properties acquired by the Company upon completion of the Gulfport transaction, the Company does not expect any material impact from these transactions on its existing employees or infrastructure.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Gulfport transaction was completed on October 11, 2012, and the distribution of the equity interests in Bison and Muskie occurred in June 2012.</w:t>
      </w:r>
    </w:p>
    <w:p>
      <w:pPr>
        <w:spacing w:after="0" w:line="20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year ended December 31, 2012 assumes that the described transactions occurred on January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Gulfport Properties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Diamondback</w:t>
            </w:r>
          </w:p>
        </w:tc>
        <w:tc>
          <w:tcPr>
            <w:tcW w:w="200" w:type="dxa"/>
            <w:vAlign w:val="bottom"/>
          </w:tcPr>
          <w:p>
            <w:pPr>
              <w:spacing w:after="0"/>
              <w:rPr>
                <w:sz w:val="23"/>
                <w:szCs w:val="23"/>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Energy, Inc.</w:t>
            </w:r>
          </w:p>
        </w:tc>
        <w:tc>
          <w:tcPr>
            <w:tcW w:w="200" w:type="dxa"/>
            <w:vAlign w:val="bottom"/>
          </w:tcPr>
          <w:p>
            <w:pPr>
              <w:spacing w:after="0"/>
              <w:rPr>
                <w:sz w:val="23"/>
                <w:szCs w:val="23"/>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2012</w:t>
            </w:r>
          </w:p>
        </w:tc>
        <w:tc>
          <w:tcPr>
            <w:tcW w:w="22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Pro Forma</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Historical</w:t>
            </w:r>
          </w:p>
        </w:tc>
        <w:tc>
          <w:tcPr>
            <w:tcW w:w="200" w:type="dxa"/>
            <w:vAlign w:val="bottom"/>
          </w:tcPr>
          <w:p>
            <w:pPr>
              <w:spacing w:after="0"/>
              <w:rPr>
                <w:sz w:val="23"/>
                <w:szCs w:val="23"/>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Historical</w:t>
            </w:r>
          </w:p>
        </w:tc>
        <w:tc>
          <w:tcPr>
            <w:tcW w:w="220" w:type="dxa"/>
            <w:vAlign w:val="bottom"/>
          </w:tcPr>
          <w:p>
            <w:pPr>
              <w:spacing w:after="0"/>
              <w:rPr>
                <w:sz w:val="23"/>
                <w:szCs w:val="23"/>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Adjustments</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Oil and natural gas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74,962,000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21,217,000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1,276,000</w:t>
            </w:r>
          </w:p>
        </w:tc>
        <w:tc>
          <w:tcPr>
            <w:tcW w:w="440" w:type="dxa"/>
            <w:vAlign w:val="bottom"/>
          </w:tcPr>
          <w:p>
            <w:pPr>
              <w:ind w:left="20"/>
              <w:spacing w:after="0"/>
              <w:rPr>
                <w:sz w:val="20"/>
                <w:szCs w:val="20"/>
                <w:color w:val="auto"/>
              </w:rPr>
            </w:pPr>
            <w:r>
              <w:rPr>
                <w:rFonts w:ascii="Arial" w:cs="Arial" w:eastAsia="Arial" w:hAnsi="Arial"/>
                <w:sz w:val="13"/>
                <w:szCs w:val="13"/>
                <w:color w:val="auto"/>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97,455,000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16,793,000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6,359,000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209,000</w:t>
            </w:r>
          </w:p>
        </w:tc>
        <w:tc>
          <w:tcPr>
            <w:tcW w:w="440" w:type="dxa"/>
            <w:vAlign w:val="bottom"/>
          </w:tcPr>
          <w:p>
            <w:pPr>
              <w:ind w:left="20"/>
              <w:spacing w:after="0"/>
              <w:rPr>
                <w:sz w:val="20"/>
                <w:szCs w:val="20"/>
                <w:color w:val="auto"/>
              </w:rPr>
            </w:pPr>
            <w:r>
              <w:rPr>
                <w:rFonts w:ascii="Arial" w:cs="Arial" w:eastAsia="Arial" w:hAnsi="Arial"/>
                <w:sz w:val="13"/>
                <w:szCs w:val="13"/>
                <w:color w:val="auto"/>
              </w:rPr>
              <w:t>(a)</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23,361,000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taxes</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3,691,000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800"/>
              <w:spacing w:after="0" w:line="270" w:lineRule="exact"/>
              <w:rPr>
                <w:sz w:val="20"/>
                <w:szCs w:val="20"/>
                <w:color w:val="auto"/>
              </w:rPr>
            </w:pPr>
            <w:r>
              <w:rPr>
                <w:rFonts w:ascii="Arial" w:cs="Arial" w:eastAsia="Arial" w:hAnsi="Arial"/>
                <w:sz w:val="18"/>
                <w:szCs w:val="18"/>
                <w:color w:val="auto"/>
              </w:rPr>
              <w:t xml:space="preserve">(6,000)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4,804,000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424,000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99,000</w:t>
            </w:r>
          </w:p>
        </w:tc>
        <w:tc>
          <w:tcPr>
            <w:tcW w:w="440" w:type="dxa"/>
            <w:vAlign w:val="bottom"/>
          </w:tcPr>
          <w:p>
            <w:pPr>
              <w:ind w:left="20"/>
              <w:spacing w:after="0"/>
              <w:rPr>
                <w:sz w:val="20"/>
                <w:szCs w:val="20"/>
                <w:color w:val="auto"/>
              </w:rPr>
            </w:pPr>
            <w:r>
              <w:rPr>
                <w:rFonts w:ascii="Arial" w:cs="Arial" w:eastAsia="Arial" w:hAnsi="Arial"/>
                <w:sz w:val="13"/>
                <w:szCs w:val="13"/>
                <w:color w:val="auto"/>
              </w:rPr>
              <w:t>(a)</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523,000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26,273,000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7,932,000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34,205,000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10,376,000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10,376,000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retirement obligation accretion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122,000</w:t>
            </w:r>
          </w:p>
        </w:tc>
      </w:tr>
      <w:tr>
        <w:trPr>
          <w:trHeight w:val="237"/>
        </w:trPr>
        <w:tc>
          <w:tcPr>
            <w:tcW w:w="3560" w:type="dxa"/>
            <w:vAlign w:val="bottom"/>
          </w:tcPr>
          <w:p>
            <w:pPr>
              <w:ind w:left="8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57,655,000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7,478,000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8,258,000</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73,391,000</w:t>
            </w: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17,307,000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13,739,000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(6,982,000)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24,064,000</w:t>
            </w:r>
          </w:p>
        </w:tc>
      </w:tr>
      <w:tr>
        <w:trPr>
          <w:trHeight w:val="378"/>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(3,610,000)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(3,610,000)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2,132,000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Gain on derivative instruments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2,617,000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2,617,000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equity investment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8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1,075,000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67,000</w:t>
            </w: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1,142,000</w:t>
            </w:r>
          </w:p>
        </w:tc>
      </w:tr>
      <w:tr>
        <w:trPr>
          <w:trHeight w:val="27"/>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15"/>
        </w:trPr>
        <w:tc>
          <w:tcPr>
            <w:tcW w:w="3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13,739,000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(6,915,000)</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25,206,000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54,903,000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54,903,000</w:t>
            </w: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(36,521,000)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13,739,000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(6,915,000)</w:t>
            </w:r>
          </w:p>
        </w:tc>
        <w:tc>
          <w:tcPr>
            <w:tcW w:w="4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(29,697,000)</w:t>
            </w: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09"/>
        </w:trPr>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 forma loss per common share</w:t>
            </w:r>
            <w:r>
              <w:rPr>
                <w:rFonts w:ascii="Arial" w:cs="Arial" w:eastAsia="Arial" w:hAnsi="Arial"/>
                <w:sz w:val="25"/>
                <w:szCs w:val="25"/>
                <w:color w:val="auto"/>
                <w:vertAlign w:val="superscript"/>
              </w:rPr>
              <w:t>(e)</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304"/>
        </w:trPr>
        <w:tc>
          <w:tcPr>
            <w:tcW w:w="3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51"/>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Pro forma weighted average common shares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w:t>
      </w:r>
      <w:r>
        <w:rPr>
          <w:rFonts w:ascii="Arial" w:cs="Arial" w:eastAsia="Arial" w:hAnsi="Arial"/>
          <w:sz w:val="25"/>
          <w:szCs w:val="25"/>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Basic</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25,856,823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63500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25,859,863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46355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63500</wp:posOffset>
            </wp:positionV>
            <wp:extent cx="1080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780" w:space="720"/>
            <w:col w:w="9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historical financial information is derived from the historical financial statements of Diamondback Energy, Inc. and the historical statements of revenues and direct operating expenses of certain property interests of Gulfport Energy Corporation. The unaudited pro forma condensed consolidated statement of operations for the year ended December 31, 2012 assumes that the Gulfport transaction and the distribution of the equity interests in Bison and Muskie occurred on January 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Assumptions and Adjustments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adjustments in the preparation of the unaudited pro forma condensed consolidated statement of operations.</w:t>
      </w:r>
    </w:p>
    <w:p>
      <w:pPr>
        <w:spacing w:after="0" w:line="171" w:lineRule="exact"/>
        <w:rPr>
          <w:sz w:val="20"/>
          <w:szCs w:val="20"/>
          <w:color w:val="auto"/>
        </w:rPr>
      </w:pPr>
    </w:p>
    <w:p>
      <w:pPr>
        <w:ind w:left="500" w:right="40" w:hanging="451"/>
        <w:spacing w:after="0" w:line="277" w:lineRule="auto"/>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record the operating results of the certain property interests of Gulfport Energy Corporation from the nine months ended September 30, 2012 to the closing date of the Gulfport transaction on October 11, 2012.</w:t>
      </w:r>
    </w:p>
    <w:p>
      <w:pPr>
        <w:spacing w:after="0" w:line="129" w:lineRule="exact"/>
        <w:rPr>
          <w:rFonts w:ascii="Arial" w:cs="Arial" w:eastAsia="Arial" w:hAnsi="Arial"/>
          <w:sz w:val="18"/>
          <w:szCs w:val="18"/>
          <w:color w:val="auto"/>
        </w:rPr>
      </w:pPr>
    </w:p>
    <w:p>
      <w:pPr>
        <w:ind w:left="500" w:hanging="451"/>
        <w:spacing w:after="0"/>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record incremental accretion of discount of asset retirement obligations associated with the Gulfport transaction.</w:t>
      </w:r>
    </w:p>
    <w:p>
      <w:pPr>
        <w:spacing w:after="0" w:line="184" w:lineRule="exact"/>
        <w:rPr>
          <w:rFonts w:ascii="Arial" w:cs="Arial" w:eastAsia="Arial" w:hAnsi="Arial"/>
          <w:sz w:val="18"/>
          <w:szCs w:val="18"/>
          <w:color w:val="auto"/>
        </w:rPr>
      </w:pPr>
    </w:p>
    <w:p>
      <w:pPr>
        <w:ind w:left="500" w:hanging="451"/>
        <w:spacing w:after="0" w:line="277" w:lineRule="auto"/>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record incremental depletion, depreciation, and amortization of oil and natural gas properties associated with the Gulfport transaction, amortized on a unit-of-production basis over the remaining life of total proved reserves.</w:t>
      </w:r>
    </w:p>
    <w:p>
      <w:pPr>
        <w:spacing w:after="0" w:line="143" w:lineRule="exact"/>
        <w:rPr>
          <w:rFonts w:ascii="Arial" w:cs="Arial" w:eastAsia="Arial" w:hAnsi="Arial"/>
          <w:sz w:val="18"/>
          <w:szCs w:val="18"/>
          <w:color w:val="auto"/>
        </w:rPr>
      </w:pPr>
    </w:p>
    <w:p>
      <w:pPr>
        <w:ind w:left="500" w:right="180" w:hanging="451"/>
        <w:spacing w:after="0" w:line="277" w:lineRule="auto"/>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record the effects of the distribution of minority equity interests in Bison and Muskie to Windsor Permian’s sole member which occurred on June 15, 2012.</w:t>
      </w:r>
    </w:p>
    <w:p>
      <w:pPr>
        <w:spacing w:after="0" w:line="129" w:lineRule="exact"/>
        <w:rPr>
          <w:rFonts w:ascii="Arial" w:cs="Arial" w:eastAsia="Arial" w:hAnsi="Arial"/>
          <w:sz w:val="18"/>
          <w:szCs w:val="18"/>
          <w:color w:val="auto"/>
        </w:rPr>
      </w:pPr>
    </w:p>
    <w:p>
      <w:pPr>
        <w:ind w:left="500" w:right="20" w:hanging="451"/>
        <w:spacing w:after="0" w:line="257" w:lineRule="auto"/>
        <w:tabs>
          <w:tab w:leader="none" w:pos="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Company’s pro forma basic earnings per share amounts have been computed based on the weighted-average number of shares of common stock outstanding for the period, as if the common shares issued in connection with the Gulfport transaction (7,914,036 shares) and to DB Holdings in connection with the merger of Diamondback Energy LLC with and into Diamondback Energy, Inc. (14,697,496 shares) were outstanding for the entire year. Diluted earnings per share reflects the potential dilution, using the treasury stock method, which assumes that options were exercised and restricted stock awards and units were fully vested.</w:t>
      </w:r>
    </w:p>
    <w:p>
      <w:pPr>
        <w:spacing w:after="0" w:line="211"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Tax and Earnings Per Share Considerations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presented in the unaudited pro forma condensed consolidated statement of operations, income tax expense includes the $54,142,000 charge relating to the change in tax status as of October 11, 2012 and the related income taxes incurred as a result of operations from October 11, 2012 to December 31, 2012. The following supplemental pro forma information gives effect to income taxes assuming the Company operated as a taxable corporation since December 31, 2011.</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Pro forma</w:t>
            </w:r>
          </w:p>
        </w:tc>
        <w:tc>
          <w:tcPr>
            <w:tcW w:w="480" w:type="dxa"/>
            <w:vAlign w:val="bottom"/>
          </w:tcPr>
          <w:p>
            <w:pPr>
              <w:spacing w:after="0"/>
              <w:rPr>
                <w:sz w:val="20"/>
                <w:szCs w:val="20"/>
                <w:color w:val="auto"/>
              </w:rPr>
            </w:pPr>
          </w:p>
        </w:tc>
        <w:tc>
          <w:tcPr>
            <w:tcW w:w="2240" w:type="dxa"/>
            <w:vAlign w:val="bottom"/>
          </w:tcPr>
          <w:p>
            <w:pPr>
              <w:jc w:val="right"/>
              <w:ind w:right="850"/>
              <w:spacing w:after="0"/>
              <w:rPr>
                <w:sz w:val="20"/>
                <w:szCs w:val="20"/>
                <w:color w:val="auto"/>
              </w:rPr>
            </w:pPr>
            <w:r>
              <w:rPr>
                <w:rFonts w:ascii="Arial" w:cs="Arial" w:eastAsia="Arial" w:hAnsi="Arial"/>
                <w:sz w:val="18"/>
                <w:szCs w:val="18"/>
                <w:b w:val="1"/>
                <w:bCs w:val="1"/>
                <w:color w:val="auto"/>
              </w:rPr>
              <w:t>Pro forma,</w:t>
            </w:r>
          </w:p>
        </w:tc>
      </w:tr>
      <w:tr>
        <w:trPr>
          <w:trHeight w:val="297"/>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 Corporation Data</w:t>
            </w:r>
            <w:r>
              <w:rPr>
                <w:rFonts w:ascii="Arial" w:cs="Arial" w:eastAsia="Arial" w:hAnsi="Arial"/>
                <w:sz w:val="25"/>
                <w:szCs w:val="25"/>
                <w:b w:val="1"/>
                <w:bCs w:val="1"/>
                <w:color w:val="auto"/>
                <w:w w:val="91"/>
                <w:vertAlign w:val="superscript"/>
              </w:rPr>
              <w:t>(a)</w:t>
            </w:r>
          </w:p>
        </w:tc>
        <w:tc>
          <w:tcPr>
            <w:tcW w:w="480" w:type="dxa"/>
            <w:vAlign w:val="bottom"/>
          </w:tcPr>
          <w:p>
            <w:pPr>
              <w:spacing w:after="0"/>
              <w:rPr>
                <w:sz w:val="24"/>
                <w:szCs w:val="24"/>
                <w:color w:val="auto"/>
              </w:rPr>
            </w:pPr>
          </w:p>
        </w:tc>
        <w:tc>
          <w:tcPr>
            <w:tcW w:w="2240" w:type="dxa"/>
            <w:vAlign w:val="bottom"/>
          </w:tcPr>
          <w:p>
            <w:pPr>
              <w:jc w:val="right"/>
              <w:ind w:right="770"/>
              <w:spacing w:after="0"/>
              <w:rPr>
                <w:sz w:val="20"/>
                <w:szCs w:val="20"/>
                <w:color w:val="auto"/>
              </w:rPr>
            </w:pPr>
            <w:r>
              <w:rPr>
                <w:rFonts w:ascii="Arial" w:cs="Arial" w:eastAsia="Arial" w:hAnsi="Arial"/>
                <w:sz w:val="18"/>
                <w:szCs w:val="18"/>
                <w:b w:val="1"/>
                <w:bCs w:val="1"/>
                <w:color w:val="auto"/>
              </w:rPr>
              <w:t>as adjusted</w:t>
            </w:r>
            <w:r>
              <w:rPr>
                <w:rFonts w:ascii="Arial" w:cs="Arial" w:eastAsia="Arial" w:hAnsi="Arial"/>
                <w:sz w:val="25"/>
                <w:szCs w:val="25"/>
                <w:b w:val="1"/>
                <w:bCs w:val="1"/>
                <w:color w:val="auto"/>
                <w:vertAlign w:val="superscript"/>
              </w:rPr>
              <w:t>(b)</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18,382,000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25,206,000</w:t>
            </w: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6,553,000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8,973,000</w:t>
            </w:r>
          </w:p>
        </w:tc>
      </w:tr>
      <w:tr>
        <w:trPr>
          <w:trHeight w:val="297"/>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 forma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11,829,000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16,233,000</w:t>
            </w:r>
          </w:p>
        </w:tc>
      </w:tr>
      <w:tr>
        <w:trPr>
          <w:trHeight w:val="23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0.63</w:t>
            </w: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 forma weighted average common shares outstanding</w:t>
            </w:r>
          </w:p>
        </w:tc>
        <w:tc>
          <w:tcPr>
            <w:tcW w:w="1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19,720,734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25,856,823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19,723,774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25,859,863</w:t>
            </w:r>
          </w:p>
        </w:tc>
      </w:tr>
      <w:tr>
        <w:trPr>
          <w:trHeight w:val="486"/>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jc w:val="right"/>
              <w:ind w:right="22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368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20" w:right="220" w:hanging="379"/>
        <w:spacing w:after="0" w:line="279"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pro forma financial data adjusts the Diamondback Energy, Inc. historical column to give effect to income taxes assuming the earnings of the Company had been subject to federal income tax as a subchapter C corporation since December 31, 2011, thus excluding the $54,142,000 charge relating to the change in tax status as of October 11, 2012. The pro forma tax provision has been calculated at a rate based upon a federal corporate level tax rate and a state tax rate, net of federal benefit, incorporating permanent differences.</w:t>
      </w:r>
    </w:p>
    <w:p>
      <w:pPr>
        <w:spacing w:after="0" w:line="198" w:lineRule="exact"/>
        <w:rPr>
          <w:rFonts w:ascii="Arial" w:cs="Arial" w:eastAsia="Arial" w:hAnsi="Arial"/>
          <w:sz w:val="17"/>
          <w:szCs w:val="17"/>
          <w:color w:val="auto"/>
        </w:rPr>
      </w:pPr>
    </w:p>
    <w:p>
      <w:pPr>
        <w:ind w:left="620" w:right="40" w:hanging="390"/>
        <w:spacing w:after="0" w:line="203" w:lineRule="auto"/>
        <w:tabs>
          <w:tab w:leader="none" w:pos="620" w:val="left"/>
        </w:tabs>
        <w:numPr>
          <w:ilvl w:val="1"/>
          <w:numId w:val="32"/>
        </w:numPr>
        <w:rPr>
          <w:rFonts w:ascii="Arial" w:cs="Arial" w:eastAsia="Arial" w:hAnsi="Arial"/>
          <w:sz w:val="36"/>
          <w:szCs w:val="36"/>
          <w:color w:val="auto"/>
          <w:vertAlign w:val="superscript"/>
        </w:rPr>
      </w:pPr>
      <w:r>
        <w:rPr>
          <w:rFonts w:ascii="Arial" w:cs="Arial" w:eastAsia="Arial" w:hAnsi="Arial"/>
          <w:sz w:val="18"/>
          <w:szCs w:val="18"/>
          <w:color w:val="auto"/>
        </w:rPr>
        <w:t>The pro forma financial data adjusts the pro forma column to give effect to income taxes assuming the earnings of the Company had been subject to federal income tax as a subchapter C corporation since December 31, 2011, thus excluding the $54,142,000 charge relating to the change in tax status as of October 11, 2012. The pro forma tax provision has been calculated at a rate based upon a federal corporate level tax rate and a state tax rate, net of federal benefit, incorporating permanent differences.</w:t>
      </w:r>
    </w:p>
    <w:p>
      <w:pPr>
        <w:spacing w:after="0" w:line="349" w:lineRule="exact"/>
        <w:rPr>
          <w:rFonts w:ascii="Arial" w:cs="Arial" w:eastAsia="Arial" w:hAnsi="Arial"/>
          <w:sz w:val="36"/>
          <w:szCs w:val="36"/>
          <w:color w:val="auto"/>
          <w:vertAlign w:val="superscript"/>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Adjusted EBITDA</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Adjusted EBITDA is a supplemental non-GAAP financial measure that is used by management and external users of our financial statements, such as industry analysts, investors, lenders and rating agencies. We define Adjusted EBITDA as net income (loss) before income taxes, gain/loss on derivative instruments, interest expense, depreciation, depletion and amortization, impairment of oil and gas properties, non-cash equity based compensation and asset retirement obligation accretion expense. Adjusted EBITDA is not a measure of net income (loss) as determined by United States’ generally accepted accounting principles, or GAAP. Management believes Adjusted EBITDA is useful because it allows it to more effectively evaluate our operating performance and compare the results of our operations from period to period without regard to our financing methods or capital structure.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(loss)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 of other companies or to such measure in our credit facility.</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presents a reconciliation of the non-GAAP financial measure of Adjusted EBITDA to the net loss reported in the unaudited pro forma condensed consolidated statement of operations.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loss:</w:t>
            </w:r>
          </w:p>
        </w:tc>
        <w:tc>
          <w:tcPr>
            <w:tcW w:w="41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(29,697,000)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(Gain) loss on derivative instruments</w:t>
            </w: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(2,617,000)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34,205,000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equity based compensation expense</w:t>
            </w:r>
          </w:p>
        </w:tc>
        <w:tc>
          <w:tcPr>
            <w:tcW w:w="3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Asset retirement obligation accretion expense</w:t>
            </w: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provision</w:t>
            </w:r>
          </w:p>
        </w:tc>
        <w:tc>
          <w:tcPr>
            <w:tcW w:w="3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54,903,000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Pro forma Adjusted EBITDA</w:t>
            </w:r>
          </w:p>
        </w:tc>
        <w:tc>
          <w:tcPr>
            <w:tcW w:w="39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63,003,000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900" w:type="dxa"/>
            <w:vAlign w:val="bottom"/>
            <w:vMerge w:val="restart"/>
          </w:tcPr>
          <w:p>
            <w:pPr>
              <w:jc w:val="right"/>
              <w:ind w:right="265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independent oil and natural gas company currently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began operations in December 2007 with our acquisition of 4,174 net acres with production at the time of acquisition of approximately 800 BOE/d from 34 gross (16.8 net) wells in the Permian Basin. Subsequently, we acquired approximately 47,429 additional net acres, which brought our total net acreage position in the Permian Basin to 51,603 net acres at December 31, 2012. We are the operator of approximately 99% of this acreage. As of December 31, 2012, we had drilled 193 gross (176 net) wells, and participated in an additional 18 gross (eight net) non-operated wells, in the Permian Basin. Of these 211 gross wells, 191 were completed as producing wells and 20 were in various stages of completion. In the aggregate, as of December 31, 2012, we held interests in 225 gross (201 net) producing wells in the Permian Basin.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activities are primarily focused on the Clearfork, Spraberry, Wolfcamp, Cline, Strawn and Atoka formations, which we refer to collectively as the Wolfberry play. The Wolfberry play is characterized by high oil and liquids rich natural gas, multiple vertical and horizontal target horizons, extensive production history, long-lived reserves and high drilling success rates. The Wolfberry play is a modification and extension of the Spraberry play, the majority of which is designated in the Spraberry Trend area field. According to the U.S. Energy Information Administration, the Spraberry trend area ranks as the second largest oilfield in the United States, based on 2009 reserves.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2012, our estimated proved oil and natural gas reserves were 40,210 MBOE based on a reserve report prepared by Ryder Scott Company L.P., or Ryder Scott, our independent reserve engineers. Of these reserves, approximately 29.5% are classified as proved developed producing, or PDP. Proved undeveloped, or PUD, reserves included in this estimate are from 306 vertical gross well locations on 40-acre spacing and four gross horizontal well locations. As of December 31, 2012, these proved reserves were approximately 65% oil, 21% natural gas liquids and 14% natural gas.</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881 identified potential vertical drilling locations on 40-acre spacing based on our evaluation of applicable geologic and engineering data as of December 31, 2012, and we have an additional 1,118 identified potential vertical drilling locations based on 20-acre downspacing. We have also identified 731 potential horizontal drilling locations in multiple horizons on our acreage. We intend to grow our reserves and production through development drilling, exploitation and exploration activities on this multi-year project inventory of identified potential drilling locations and through acquisitions that meet our strategic and financial objectives, targeting oil-weighted reserves. The gross estimated ultimate recoveries, or EURs, from our future PUD wells on 40-acre spacing, as estimated by Ryder Scott, range from 102 MBOE per well, consisting of 46 MBbls of oil, 151 MMcf of natural gas and 31 MBbls of natural gas liquids, to 158 MBOE per well, consisting of 112 MBbls of oil, 114 MMcf of natural gas and 27 MBbls of natural gas liquids, with an average EUR per well of 133 MBOE, consisting of 91 MBbls of oil, 101 MMcf of natural gas and 25 MBbls of natural gas liquids. We also intend to continue to refine our drilling pattern and completion techniques in an effort to increase our average EUR per well from vertical wells drilled on 40-acre spacing. We currently anticipate a reduction of approximately 20% in our EURs from vertical wells drilled on 20-acre spacing.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Horizontal Drilling Activity</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2012, we began testing the horizontal well potential of our acreage. Our first horizontal well was the Janey 16H in Upton County with a 3,842 foot lateral in the Wolfcamp B interval. We are the operator of this well with a 100% working interest. It was completed in June 2012 and had a peak 24-hour initial production rate of 618 BOE/d and a peak consecutive 30-day average initial production rate of 486 BOE/d, of which 86% was oil. Through March 31, 2013, the Janey 16H had produced a total of 54 MBbls of oil and 66 MMcf of natural gas. Our second horizontal well was the Kemmer 4209H in Midland County. It is a non-operated well in which we own a 47% working interest. It was completed in September 2012 in the Wolfcamp B interval with a 3,733 foot lateral. The production as reported to us by the operator was a peak 24-hour initial production rate of 892 BOE/d and a peak 30-day average initial production rate of 712 BOE/d, of which 85% was oil. Through March 31, 2013, the Kemmer 4209H had produced a total of 53 MBbls of oil and 56 MMcf of natural gas. Based on the decline curve analysis of the current production, we anticipate that the EUR for each of these wells will be in the range of 400 to 500 MBOE.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the Janey 16H and Kemmer 4209H wells, we have drilled or are currently drilling nine horizontal wells as operator and have participated in one additional horizontal well as a non-operator, all of which are Wolfcamp B wells in various stages of development. The table below presents certain data regarding our horizontal wells.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Horizontal Wells: Midland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Peak</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jc w:val="center"/>
              <w:ind w:right="255"/>
              <w:spacing w:after="0"/>
              <w:rPr>
                <w:sz w:val="20"/>
                <w:szCs w:val="20"/>
                <w:color w:val="auto"/>
              </w:rPr>
            </w:pPr>
            <w:r>
              <w:rPr>
                <w:rFonts w:ascii="Arial" w:cs="Arial" w:eastAsia="Arial" w:hAnsi="Arial"/>
                <w:sz w:val="18"/>
                <w:szCs w:val="18"/>
                <w:b w:val="1"/>
                <w:bCs w:val="1"/>
                <w:color w:val="auto"/>
                <w:w w:val="94"/>
              </w:rPr>
              <w:t>Initial Production (“IP”)</w:t>
            </w:r>
          </w:p>
        </w:tc>
        <w:tc>
          <w:tcPr>
            <w:tcW w:w="1020" w:type="dxa"/>
            <w:vAlign w:val="bottom"/>
          </w:tcPr>
          <w:p>
            <w:pPr>
              <w:spacing w:after="0"/>
              <w:rPr>
                <w:sz w:val="20"/>
                <w:szCs w:val="20"/>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460"/>
              <w:spacing w:after="0"/>
              <w:rPr>
                <w:sz w:val="20"/>
                <w:szCs w:val="20"/>
                <w:color w:val="auto"/>
              </w:rPr>
            </w:pPr>
            <w:r>
              <w:rPr>
                <w:rFonts w:ascii="Arial" w:cs="Arial" w:eastAsia="Arial" w:hAnsi="Arial"/>
                <w:sz w:val="18"/>
                <w:szCs w:val="18"/>
                <w:b w:val="1"/>
                <w:bCs w:val="1"/>
                <w:color w:val="auto"/>
              </w:rPr>
              <w:t>Lateral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24-HR IP</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5"/>
              <w:spacing w:after="0"/>
              <w:rPr>
                <w:sz w:val="20"/>
                <w:szCs w:val="20"/>
                <w:color w:val="auto"/>
              </w:rPr>
            </w:pPr>
            <w:r>
              <w:rPr>
                <w:rFonts w:ascii="Arial" w:cs="Arial" w:eastAsia="Arial" w:hAnsi="Arial"/>
                <w:sz w:val="18"/>
                <w:szCs w:val="18"/>
                <w:b w:val="1"/>
                <w:bCs w:val="1"/>
                <w:color w:val="auto"/>
                <w:w w:val="92"/>
              </w:rPr>
              <w:t>Rate</w:t>
            </w:r>
          </w:p>
        </w:tc>
        <w:tc>
          <w:tcPr>
            <w:tcW w:w="1020" w:type="dxa"/>
            <w:vAlign w:val="bottom"/>
          </w:tcPr>
          <w:p>
            <w:pPr>
              <w:spacing w:after="0"/>
              <w:rPr>
                <w:sz w:val="23"/>
                <w:szCs w:val="23"/>
                <w:color w:val="auto"/>
              </w:rPr>
            </w:pPr>
          </w:p>
        </w:tc>
      </w:tr>
      <w:tr>
        <w:trPr>
          <w:trHeight w:val="29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Well Name</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Length</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Frac Stages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5"/>
              </w:rPr>
              <w:t>(BOE/d)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20" w:type="dxa"/>
            <w:vAlign w:val="bottom"/>
            <w:tcBorders>
              <w:bottom w:val="single" w:sz="8" w:color="auto"/>
            </w:tcBorders>
          </w:tcPr>
          <w:p>
            <w:pPr>
              <w:jc w:val="center"/>
              <w:ind w:right="255"/>
              <w:spacing w:after="0"/>
              <w:rPr>
                <w:sz w:val="20"/>
                <w:szCs w:val="20"/>
                <w:color w:val="auto"/>
              </w:rPr>
            </w:pPr>
            <w:r>
              <w:rPr>
                <w:rFonts w:ascii="Arial" w:cs="Arial" w:eastAsia="Arial" w:hAnsi="Arial"/>
                <w:sz w:val="18"/>
                <w:szCs w:val="18"/>
                <w:b w:val="1"/>
                <w:bCs w:val="1"/>
                <w:color w:val="auto"/>
                <w:w w:val="95"/>
              </w:rPr>
              <w:t>(BOE/d)</w:t>
            </w: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 Oil</w:t>
            </w:r>
            <w:r>
              <w:rPr>
                <w:rFonts w:ascii="Arial" w:cs="Arial" w:eastAsia="Arial" w:hAnsi="Arial"/>
                <w:sz w:val="25"/>
                <w:szCs w:val="25"/>
                <w:b w:val="1"/>
                <w:bCs w:val="1"/>
                <w:color w:val="auto"/>
                <w:w w:val="91"/>
                <w:vertAlign w:val="superscript"/>
              </w:rPr>
              <w:t>(a)</w:t>
            </w:r>
          </w:p>
        </w:tc>
      </w:tr>
      <w:tr>
        <w:trPr>
          <w:trHeight w:val="264"/>
        </w:trPr>
        <w:tc>
          <w:tcPr>
            <w:tcW w:w="32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Kemmer 4209H</w:t>
            </w:r>
            <w:r>
              <w:rPr>
                <w:rFonts w:ascii="Arial" w:cs="Arial" w:eastAsia="Arial" w:hAnsi="Arial"/>
                <w:sz w:val="25"/>
                <w:szCs w:val="25"/>
                <w:color w:val="auto"/>
                <w:vertAlign w:val="superscript"/>
              </w:rPr>
              <w:t>(b)</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3,733’</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15</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892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jc w:val="center"/>
              <w:ind w:right="255"/>
              <w:spacing w:after="0" w:line="264" w:lineRule="exact"/>
              <w:rPr>
                <w:sz w:val="20"/>
                <w:szCs w:val="20"/>
                <w:color w:val="auto"/>
              </w:rPr>
            </w:pPr>
            <w:r>
              <w:rPr>
                <w:rFonts w:ascii="Arial" w:cs="Arial" w:eastAsia="Arial" w:hAnsi="Arial"/>
                <w:sz w:val="18"/>
                <w:szCs w:val="18"/>
                <w:color w:val="auto"/>
                <w:w w:val="80"/>
              </w:rPr>
              <w:t>712</w:t>
            </w:r>
            <w:r>
              <w:rPr>
                <w:rFonts w:ascii="Arial" w:cs="Arial" w:eastAsia="Arial" w:hAnsi="Arial"/>
                <w:sz w:val="25"/>
                <w:szCs w:val="25"/>
                <w:color w:val="auto"/>
                <w:w w:val="80"/>
                <w:vertAlign w:val="superscript"/>
              </w:rPr>
              <w:t>(c)</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85%</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NW 2501H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4,451’</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19</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770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5"/>
              <w:spacing w:after="0" w:line="270" w:lineRule="exact"/>
              <w:rPr>
                <w:sz w:val="20"/>
                <w:szCs w:val="20"/>
                <w:color w:val="auto"/>
              </w:rPr>
            </w:pPr>
            <w:r>
              <w:rPr>
                <w:rFonts w:ascii="Arial" w:cs="Arial" w:eastAsia="Arial" w:hAnsi="Arial"/>
                <w:sz w:val="18"/>
                <w:szCs w:val="18"/>
                <w:color w:val="auto"/>
                <w:w w:val="79"/>
              </w:rPr>
              <w:t>574</w:t>
            </w:r>
            <w:r>
              <w:rPr>
                <w:rFonts w:ascii="Arial" w:cs="Arial" w:eastAsia="Arial" w:hAnsi="Arial"/>
                <w:sz w:val="25"/>
                <w:szCs w:val="25"/>
                <w:color w:val="auto"/>
                <w:w w:val="79"/>
                <w:vertAlign w:val="superscript"/>
              </w:rPr>
              <w:t>(d)</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 NW 2502H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4,351’</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16</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651</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ind w:right="255"/>
              <w:spacing w:after="0" w:line="270" w:lineRule="exact"/>
              <w:rPr>
                <w:sz w:val="20"/>
                <w:szCs w:val="20"/>
                <w:color w:val="auto"/>
              </w:rPr>
            </w:pPr>
            <w:r>
              <w:rPr>
                <w:rFonts w:ascii="Arial" w:cs="Arial" w:eastAsia="Arial" w:hAnsi="Arial"/>
                <w:sz w:val="18"/>
                <w:szCs w:val="18"/>
                <w:color w:val="auto"/>
                <w:w w:val="79"/>
              </w:rPr>
              <w:t>544</w:t>
            </w:r>
            <w:r>
              <w:rPr>
                <w:rFonts w:ascii="Arial" w:cs="Arial" w:eastAsia="Arial" w:hAnsi="Arial"/>
                <w:sz w:val="25"/>
                <w:szCs w:val="25"/>
                <w:color w:val="auto"/>
                <w:w w:val="79"/>
                <w:vertAlign w:val="superscript"/>
              </w:rPr>
              <w:t>(e)</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70"/>
        </w:trPr>
        <w:tc>
          <w:tcPr>
            <w:tcW w:w="32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Sarah Ann 3812H</w:t>
            </w:r>
            <w:r>
              <w:rPr>
                <w:rFonts w:ascii="Arial" w:cs="Arial" w:eastAsia="Arial" w:hAnsi="Arial"/>
                <w:sz w:val="25"/>
                <w:szCs w:val="25"/>
                <w:color w:val="auto"/>
                <w:vertAlign w:val="superscript"/>
              </w:rPr>
              <w:t>(b)</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4,830’</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18</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892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5"/>
              <w:spacing w:after="0" w:line="269" w:lineRule="exact"/>
              <w:rPr>
                <w:sz w:val="20"/>
                <w:szCs w:val="20"/>
                <w:color w:val="auto"/>
              </w:rPr>
            </w:pPr>
            <w:r>
              <w:rPr>
                <w:rFonts w:ascii="Arial" w:cs="Arial" w:eastAsia="Arial" w:hAnsi="Arial"/>
                <w:sz w:val="31"/>
                <w:szCs w:val="31"/>
                <w:color w:val="auto"/>
                <w:w w:val="87"/>
                <w:vertAlign w:val="subscript"/>
              </w:rPr>
              <w:t>738</w:t>
            </w:r>
            <w:r>
              <w:rPr>
                <w:rFonts w:ascii="Arial" w:cs="Arial" w:eastAsia="Arial" w:hAnsi="Arial"/>
                <w:sz w:val="12"/>
                <w:szCs w:val="12"/>
                <w:color w:val="auto"/>
                <w:w w:val="87"/>
              </w:rPr>
              <w:t>(f)</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89%</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W 4301H</w:t>
            </w:r>
          </w:p>
        </w:tc>
        <w:tc>
          <w:tcPr>
            <w:tcW w:w="11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~7,250’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jc w:val="center"/>
              <w:ind w:right="275"/>
              <w:spacing w:after="0"/>
              <w:rPr>
                <w:sz w:val="20"/>
                <w:szCs w:val="20"/>
                <w:color w:val="auto"/>
              </w:rPr>
            </w:pPr>
            <w:r>
              <w:rPr>
                <w:rFonts w:ascii="Arial" w:cs="Arial" w:eastAsia="Arial" w:hAnsi="Arial"/>
                <w:sz w:val="18"/>
                <w:szCs w:val="18"/>
                <w:color w:val="auto"/>
                <w:w w:val="93"/>
              </w:rPr>
              <w:t>Well drilled; frac scheduled April 22, 2013</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W 701H</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140" w:type="dxa"/>
            <w:vAlign w:val="bottom"/>
            <w:gridSpan w:val="3"/>
          </w:tcPr>
          <w:p>
            <w:pPr>
              <w:jc w:val="center"/>
              <w:ind w:right="1315"/>
              <w:spacing w:after="0"/>
              <w:rPr>
                <w:sz w:val="20"/>
                <w:szCs w:val="20"/>
                <w:color w:val="auto"/>
              </w:rPr>
            </w:pPr>
            <w:r>
              <w:rPr>
                <w:rFonts w:ascii="Arial" w:cs="Arial" w:eastAsia="Arial" w:hAnsi="Arial"/>
                <w:sz w:val="18"/>
                <w:szCs w:val="18"/>
                <w:color w:val="auto"/>
                <w:w w:val="97"/>
              </w:rPr>
              <w:t>Currently drilling well</w:t>
            </w:r>
          </w:p>
        </w:tc>
        <w:tc>
          <w:tcPr>
            <w:tcW w:w="1020" w:type="dxa"/>
            <w:vAlign w:val="bottom"/>
          </w:tcPr>
          <w:p>
            <w:pPr>
              <w:spacing w:after="0"/>
              <w:rPr>
                <w:sz w:val="21"/>
                <w:szCs w:val="21"/>
                <w:color w:val="auto"/>
              </w:rPr>
            </w:pPr>
          </w:p>
        </w:tc>
      </w:tr>
      <w:tr>
        <w:trPr>
          <w:trHeight w:val="60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00" w:type="dxa"/>
            <w:vAlign w:val="bottom"/>
            <w:gridSpan w:val="6"/>
          </w:tcPr>
          <w:p>
            <w:pPr>
              <w:ind w:left="100"/>
              <w:spacing w:after="0"/>
              <w:rPr>
                <w:sz w:val="20"/>
                <w:szCs w:val="20"/>
                <w:color w:val="auto"/>
              </w:rPr>
            </w:pPr>
            <w:r>
              <w:rPr>
                <w:rFonts w:ascii="Arial" w:cs="Arial" w:eastAsia="Arial" w:hAnsi="Arial"/>
                <w:sz w:val="18"/>
                <w:szCs w:val="18"/>
                <w:b w:val="1"/>
                <w:bCs w:val="1"/>
                <w:color w:val="auto"/>
              </w:rPr>
              <w:t>Horizontal Wells: Upton County</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Peak</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460"/>
              <w:spacing w:after="0"/>
              <w:rPr>
                <w:sz w:val="20"/>
                <w:szCs w:val="20"/>
                <w:color w:val="auto"/>
              </w:rPr>
            </w:pPr>
            <w:r>
              <w:rPr>
                <w:rFonts w:ascii="Arial" w:cs="Arial" w:eastAsia="Arial" w:hAnsi="Arial"/>
                <w:sz w:val="18"/>
                <w:szCs w:val="18"/>
                <w:b w:val="1"/>
                <w:bCs w:val="1"/>
                <w:color w:val="auto"/>
              </w:rPr>
              <w:t>Lateral</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24-HR IP</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5"/>
              <w:spacing w:after="0"/>
              <w:rPr>
                <w:sz w:val="20"/>
                <w:szCs w:val="20"/>
                <w:color w:val="auto"/>
              </w:rPr>
            </w:pPr>
            <w:r>
              <w:rPr>
                <w:rFonts w:ascii="Arial" w:cs="Arial" w:eastAsia="Arial" w:hAnsi="Arial"/>
                <w:sz w:val="18"/>
                <w:szCs w:val="18"/>
                <w:b w:val="1"/>
                <w:bCs w:val="1"/>
                <w:color w:val="auto"/>
                <w:w w:val="98"/>
              </w:rPr>
              <w:t>IP Rate</w:t>
            </w:r>
          </w:p>
        </w:tc>
        <w:tc>
          <w:tcPr>
            <w:tcW w:w="1020" w:type="dxa"/>
            <w:vAlign w:val="bottom"/>
          </w:tcPr>
          <w:p>
            <w:pPr>
              <w:spacing w:after="0"/>
              <w:rPr>
                <w:sz w:val="23"/>
                <w:szCs w:val="23"/>
                <w:color w:val="auto"/>
              </w:rPr>
            </w:pPr>
          </w:p>
        </w:tc>
      </w:tr>
      <w:tr>
        <w:trPr>
          <w:trHeight w:val="29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Well Name</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Length</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Frac Stages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5"/>
              </w:rPr>
              <w:t>(BOE/d)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20" w:type="dxa"/>
            <w:vAlign w:val="bottom"/>
            <w:tcBorders>
              <w:bottom w:val="single" w:sz="8" w:color="auto"/>
            </w:tcBorders>
          </w:tcPr>
          <w:p>
            <w:pPr>
              <w:jc w:val="center"/>
              <w:ind w:right="255"/>
              <w:spacing w:after="0"/>
              <w:rPr>
                <w:sz w:val="20"/>
                <w:szCs w:val="20"/>
                <w:color w:val="auto"/>
              </w:rPr>
            </w:pPr>
            <w:r>
              <w:rPr>
                <w:rFonts w:ascii="Arial" w:cs="Arial" w:eastAsia="Arial" w:hAnsi="Arial"/>
                <w:sz w:val="18"/>
                <w:szCs w:val="18"/>
                <w:b w:val="1"/>
                <w:bCs w:val="1"/>
                <w:color w:val="auto"/>
                <w:w w:val="95"/>
              </w:rPr>
              <w:t>(BOE/d)</w:t>
            </w: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 Oil</w:t>
            </w:r>
            <w:r>
              <w:rPr>
                <w:rFonts w:ascii="Arial" w:cs="Arial" w:eastAsia="Arial" w:hAnsi="Arial"/>
                <w:sz w:val="25"/>
                <w:szCs w:val="25"/>
                <w:b w:val="1"/>
                <w:bCs w:val="1"/>
                <w:color w:val="auto"/>
                <w:w w:val="91"/>
                <w:vertAlign w:val="superscript"/>
              </w:rPr>
              <w:t>(a)</w:t>
            </w:r>
          </w:p>
        </w:tc>
      </w:tr>
      <w:tr>
        <w:trPr>
          <w:trHeight w:val="26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Janey 16H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3,842’</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16</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618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20" w:type="dxa"/>
            <w:vAlign w:val="bottom"/>
            <w:shd w:val="clear" w:color="auto" w:fill="CCEEFF"/>
          </w:tcPr>
          <w:p>
            <w:pPr>
              <w:jc w:val="center"/>
              <w:ind w:right="255"/>
              <w:spacing w:after="0" w:line="264" w:lineRule="exact"/>
              <w:rPr>
                <w:sz w:val="20"/>
                <w:szCs w:val="20"/>
                <w:color w:val="auto"/>
              </w:rPr>
            </w:pPr>
            <w:r>
              <w:rPr>
                <w:rFonts w:ascii="Arial" w:cs="Arial" w:eastAsia="Arial" w:hAnsi="Arial"/>
                <w:sz w:val="18"/>
                <w:szCs w:val="18"/>
                <w:color w:val="auto"/>
                <w:w w:val="80"/>
              </w:rPr>
              <w:t>486</w:t>
            </w:r>
            <w:r>
              <w:rPr>
                <w:rFonts w:ascii="Arial" w:cs="Arial" w:eastAsia="Arial" w:hAnsi="Arial"/>
                <w:sz w:val="25"/>
                <w:szCs w:val="25"/>
                <w:color w:val="auto"/>
                <w:w w:val="80"/>
                <w:vertAlign w:val="superscript"/>
              </w:rPr>
              <w:t>(c)</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86%</w:t>
            </w: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Neal A Unit 8-1H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7,441’</w:t>
            </w:r>
          </w:p>
        </w:tc>
        <w:tc>
          <w:tcPr>
            <w:tcW w:w="156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32</w:t>
            </w:r>
          </w:p>
        </w:tc>
        <w:tc>
          <w:tcPr>
            <w:tcW w:w="1340" w:type="dxa"/>
            <w:vAlign w:val="bottom"/>
            <w:gridSpan w:val="3"/>
          </w:tcPr>
          <w:p>
            <w:pPr>
              <w:jc w:val="center"/>
              <w:ind w:left="390"/>
              <w:spacing w:after="0"/>
              <w:rPr>
                <w:sz w:val="20"/>
                <w:szCs w:val="20"/>
                <w:color w:val="auto"/>
              </w:rPr>
            </w:pPr>
            <w:r>
              <w:rPr>
                <w:rFonts w:ascii="Arial" w:cs="Arial" w:eastAsia="Arial" w:hAnsi="Arial"/>
                <w:sz w:val="18"/>
                <w:szCs w:val="18"/>
                <w:color w:val="auto"/>
                <w:w w:val="86"/>
              </w:rPr>
              <w:t>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tcPr>
          <w:p>
            <w:pPr>
              <w:jc w:val="center"/>
              <w:ind w:right="255"/>
              <w:spacing w:after="0" w:line="270" w:lineRule="exact"/>
              <w:rPr>
                <w:sz w:val="20"/>
                <w:szCs w:val="20"/>
                <w:color w:val="auto"/>
              </w:rPr>
            </w:pPr>
            <w:r>
              <w:rPr>
                <w:rFonts w:ascii="Arial" w:cs="Arial" w:eastAsia="Arial" w:hAnsi="Arial"/>
                <w:sz w:val="18"/>
                <w:szCs w:val="18"/>
                <w:color w:val="auto"/>
                <w:w w:val="80"/>
              </w:rPr>
              <w:t>697</w:t>
            </w:r>
            <w:r>
              <w:rPr>
                <w:rFonts w:ascii="Arial" w:cs="Arial" w:eastAsia="Arial" w:hAnsi="Arial"/>
                <w:sz w:val="25"/>
                <w:szCs w:val="25"/>
                <w:color w:val="auto"/>
                <w:w w:val="80"/>
                <w:vertAlign w:val="superscript"/>
              </w:rPr>
              <w:t>(c)</w:t>
            </w: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8"/>
              </w:rPr>
              <w:t>87%</w:t>
            </w:r>
          </w:p>
        </w:tc>
      </w:tr>
      <w:tr>
        <w:trPr>
          <w:trHeight w:val="27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Janey 3H</w:t>
            </w:r>
          </w:p>
        </w:tc>
        <w:tc>
          <w:tcPr>
            <w:tcW w:w="11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4,441’</w:t>
            </w:r>
          </w:p>
        </w:tc>
        <w:tc>
          <w:tcPr>
            <w:tcW w:w="1560" w:type="dxa"/>
            <w:vAlign w:val="bottom"/>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89"/>
              </w:rPr>
              <w:t>19</w:t>
            </w:r>
          </w:p>
        </w:tc>
        <w:tc>
          <w:tcPr>
            <w:tcW w:w="134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86"/>
              </w:rPr>
              <w:t>572</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ind w:right="255"/>
              <w:spacing w:after="0" w:line="269" w:lineRule="exact"/>
              <w:rPr>
                <w:sz w:val="20"/>
                <w:szCs w:val="20"/>
                <w:color w:val="auto"/>
              </w:rPr>
            </w:pPr>
            <w:r>
              <w:rPr>
                <w:rFonts w:ascii="Arial" w:cs="Arial" w:eastAsia="Arial" w:hAnsi="Arial"/>
                <w:sz w:val="31"/>
                <w:szCs w:val="31"/>
                <w:color w:val="auto"/>
                <w:w w:val="81"/>
                <w:vertAlign w:val="subscript"/>
              </w:rPr>
              <w:t>503</w:t>
            </w:r>
            <w:r>
              <w:rPr>
                <w:rFonts w:ascii="Arial" w:cs="Arial" w:eastAsia="Arial" w:hAnsi="Arial"/>
                <w:sz w:val="12"/>
                <w:szCs w:val="12"/>
                <w:color w:val="auto"/>
                <w:w w:val="81"/>
              </w:rPr>
              <w:t>(g)</w:t>
            </w:r>
          </w:p>
        </w:tc>
        <w:tc>
          <w:tcPr>
            <w:tcW w:w="1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84%</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Neal B Unit 8-2H</w:t>
            </w:r>
          </w:p>
        </w:tc>
        <w:tc>
          <w:tcPr>
            <w:tcW w:w="1140" w:type="dxa"/>
            <w:vAlign w:val="bottom"/>
          </w:tcPr>
          <w:p>
            <w:pPr>
              <w:jc w:val="center"/>
              <w:ind w:left="270"/>
              <w:spacing w:after="0"/>
              <w:rPr>
                <w:sz w:val="20"/>
                <w:szCs w:val="20"/>
                <w:color w:val="auto"/>
              </w:rPr>
            </w:pPr>
            <w:r>
              <w:rPr>
                <w:rFonts w:ascii="Arial" w:cs="Arial" w:eastAsia="Arial" w:hAnsi="Arial"/>
                <w:sz w:val="18"/>
                <w:szCs w:val="18"/>
                <w:color w:val="auto"/>
                <w:w w:val="93"/>
              </w:rPr>
              <w:t>6,501’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20" w:type="dxa"/>
            <w:vAlign w:val="bottom"/>
            <w:gridSpan w:val="5"/>
          </w:tcPr>
          <w:p>
            <w:pPr>
              <w:jc w:val="center"/>
              <w:ind w:right="135"/>
              <w:spacing w:after="0"/>
              <w:rPr>
                <w:sz w:val="20"/>
                <w:szCs w:val="20"/>
                <w:color w:val="auto"/>
              </w:rPr>
            </w:pPr>
            <w:r>
              <w:rPr>
                <w:rFonts w:ascii="Arial" w:cs="Arial" w:eastAsia="Arial" w:hAnsi="Arial"/>
                <w:sz w:val="18"/>
                <w:szCs w:val="18"/>
                <w:color w:val="auto"/>
                <w:w w:val="92"/>
              </w:rPr>
              <w:t>Well drilled; 26 stage frac completed, drilling out plugs</w:t>
            </w:r>
          </w:p>
        </w:tc>
        <w:tc>
          <w:tcPr>
            <w:tcW w:w="10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Kendra A Unit 1H</w:t>
            </w:r>
          </w:p>
        </w:tc>
        <w:tc>
          <w:tcPr>
            <w:tcW w:w="11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jc w:val="center"/>
              <w:ind w:right="255"/>
              <w:spacing w:after="0"/>
              <w:rPr>
                <w:sz w:val="20"/>
                <w:szCs w:val="20"/>
                <w:color w:val="auto"/>
              </w:rPr>
            </w:pPr>
            <w:r>
              <w:rPr>
                <w:rFonts w:ascii="Arial" w:cs="Arial" w:eastAsia="Arial" w:hAnsi="Arial"/>
                <w:sz w:val="18"/>
                <w:szCs w:val="18"/>
                <w:color w:val="auto"/>
                <w:w w:val="91"/>
              </w:rPr>
              <w:t>Well drilled; 30 stage frac in progress</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Jacee A Unit 1H</w:t>
            </w:r>
          </w:p>
        </w:tc>
        <w:tc>
          <w:tcPr>
            <w:tcW w:w="1140" w:type="dxa"/>
            <w:vAlign w:val="bottom"/>
          </w:tcPr>
          <w:p>
            <w:pPr>
              <w:jc w:val="center"/>
              <w:ind w:left="250"/>
              <w:spacing w:after="0"/>
              <w:rPr>
                <w:sz w:val="20"/>
                <w:szCs w:val="20"/>
                <w:color w:val="auto"/>
              </w:rPr>
            </w:pPr>
            <w:r>
              <w:rPr>
                <w:rFonts w:ascii="Arial" w:cs="Arial" w:eastAsia="Arial" w:hAnsi="Arial"/>
                <w:sz w:val="18"/>
                <w:szCs w:val="18"/>
                <w:color w:val="auto"/>
                <w:w w:val="93"/>
              </w:rPr>
              <w:t>~7,500’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80" w:type="dxa"/>
            <w:vAlign w:val="bottom"/>
            <w:gridSpan w:val="6"/>
          </w:tcPr>
          <w:p>
            <w:pPr>
              <w:jc w:val="center"/>
              <w:spacing w:after="0"/>
              <w:rPr>
                <w:sz w:val="20"/>
                <w:szCs w:val="20"/>
                <w:color w:val="auto"/>
              </w:rPr>
            </w:pPr>
            <w:r>
              <w:rPr>
                <w:rFonts w:ascii="Arial" w:cs="Arial" w:eastAsia="Arial" w:hAnsi="Arial"/>
                <w:sz w:val="18"/>
                <w:szCs w:val="18"/>
                <w:color w:val="auto"/>
                <w:w w:val="92"/>
              </w:rPr>
              <w:t>Currently drilling well; 28 stage frac scheduled May 1, 2013</w:t>
            </w:r>
          </w:p>
        </w:tc>
        <w:tc>
          <w:tcPr>
            <w:tcW w:w="10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445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90" w:lineRule="exact"/>
        <w:rPr>
          <w:sz w:val="20"/>
          <w:szCs w:val="20"/>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period for which the “IP Rate” is presented</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Non-operated</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Peak consecutive 30-day average initial production rate on artificial lift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Peak consecutive 20-day average initial production rate (flowing)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Peak consecutive 13-day average initial production rate (flowing)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Peak consecutive 23-day average initial production rate on artificial lift through April 6, 2013</w:t>
      </w:r>
    </w:p>
    <w:p>
      <w:pPr>
        <w:spacing w:after="0" w:line="63" w:lineRule="exact"/>
        <w:rPr>
          <w:rFonts w:ascii="Arial" w:cs="Arial" w:eastAsia="Arial" w:hAnsi="Arial"/>
          <w:sz w:val="18"/>
          <w:szCs w:val="18"/>
          <w:color w:val="auto"/>
        </w:rPr>
      </w:pPr>
    </w:p>
    <w:p>
      <w:pPr>
        <w:ind w:left="380" w:hanging="345"/>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Peak consecutive 26-day average initial production rate on artificial lift through April 6, 2013</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production results from the wells in Midland and Upton Counties, along with geoscience and engineering data that we have gathered and analyzed, give us confidence that our acreage in Midland and Upton Counties is prospective in the Wolfcamp B interval.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increase stockholder value through the following:</w:t>
      </w:r>
    </w:p>
    <w:p>
      <w:pPr>
        <w:spacing w:after="0" w:line="221" w:lineRule="exact"/>
        <w:rPr>
          <w:sz w:val="20"/>
          <w:szCs w:val="20"/>
          <w:color w:val="auto"/>
        </w:rPr>
      </w:pPr>
    </w:p>
    <w:p>
      <w:pPr>
        <w:jc w:val="both"/>
        <w:ind w:left="980" w:hanging="324"/>
        <w:spacing w:after="0" w:line="255"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Grow production and reserves by developing our oil-rich resource base. </w:t>
      </w:r>
      <w:r>
        <w:rPr>
          <w:rFonts w:ascii="Arial" w:cs="Arial" w:eastAsia="Arial" w:hAnsi="Arial"/>
          <w:sz w:val="18"/>
          <w:szCs w:val="18"/>
          <w:color w:val="auto"/>
        </w:rPr>
        <w:t>We intend to actively drill and develop our acreage base in an effort</w:t>
      </w:r>
      <w:r>
        <w:rPr>
          <w:rFonts w:ascii="Arial" w:cs="Arial" w:eastAsia="Arial" w:hAnsi="Arial"/>
          <w:sz w:val="18"/>
          <w:szCs w:val="18"/>
          <w:b w:val="1"/>
          <w:bCs w:val="1"/>
          <w:color w:val="auto"/>
        </w:rPr>
        <w:t xml:space="preserve"> </w:t>
      </w:r>
      <w:r>
        <w:rPr>
          <w:rFonts w:ascii="Arial" w:cs="Arial" w:eastAsia="Arial" w:hAnsi="Arial"/>
          <w:sz w:val="18"/>
          <w:szCs w:val="18"/>
          <w:color w:val="auto"/>
        </w:rPr>
        <w:t>to maximize its value and resource potential. Through the conversion of our undeveloped reserves to developed reserves, we will seek to increase our production, reserves and cash flow while generating favorable returns on invested capital. As of December 31, 2012, we had 881 identified potential vertical drilling locations and 739 identified potential horizontal drilling locations on our acreage in the Permian Basin based on 40-acre spacing and an additional 1,118 vertical locations based on 20-acre downspacing. We were using two vertical drilling rigs as of March 31, 2013, although we currently intend to begin a one vertical rig drilling program in July 2013 as we increase our focus on horizontal wells.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both"/>
        <w:ind w:left="980" w:hanging="324"/>
        <w:spacing w:after="0" w:line="26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Focus on increasing hydrocarbon recovery through horizontal drilling and increased well density</w:t>
      </w:r>
      <w:r>
        <w:rPr>
          <w:rFonts w:ascii="Arial" w:cs="Arial" w:eastAsia="Arial" w:hAnsi="Arial"/>
          <w:sz w:val="17"/>
          <w:szCs w:val="17"/>
          <w:color w:val="auto"/>
        </w:rPr>
        <w:t>. We believe there are opportunities to</w:t>
      </w:r>
      <w:r>
        <w:rPr>
          <w:rFonts w:ascii="Arial" w:cs="Arial" w:eastAsia="Arial" w:hAnsi="Arial"/>
          <w:sz w:val="17"/>
          <w:szCs w:val="17"/>
          <w:b w:val="1"/>
          <w:bCs w:val="1"/>
          <w:color w:val="auto"/>
        </w:rPr>
        <w:t xml:space="preserve"> </w:t>
      </w:r>
      <w:r>
        <w:rPr>
          <w:rFonts w:ascii="Arial" w:cs="Arial" w:eastAsia="Arial" w:hAnsi="Arial"/>
          <w:sz w:val="17"/>
          <w:szCs w:val="17"/>
          <w:color w:val="auto"/>
        </w:rPr>
        <w:t>target various intervals in the Wolfberry play with horizontal wells. Our initial horizontal focus has been on the Wolfcamp B interval in Midland and Upton Counties. Our first two horizontal wells were completed in 2012 and had lateral lengths of less than 4,000 feet. Subsequently, we have drilled or are currently drilling nine horizontal wells as operator and have participated in one additional horizontal well as a non-operator, all of which are Wolfcamp B wells in various stages of development. These wells have had lateral lengths ranging from 3,733 feet to 7,652 feet. In the future, we expect that our optimal average lateral lengths will be in the range of 7,500 to 8,000 feet, although the actual length will vary depending on the layout of our acreage and other factors. We expect that longer lateral lengths will result in higher per well recoveries and lower development costs per BOE. During the first quarter of 2013, we were able to drill our horizontal wells with approximately 7,500 foot lateral lengths to total depth in an average of 21 days. Our future horizontal drilling program is designed to further capture the upside potential that may exist on our properties. We also believe our horizontal drilling program may significantly increase our recoveries per section as compared to drilling vertical wells alone. Horizontal drilling may also be economical in areas where vertical drilling is currently not economical or logistically viable. In addition, we believe increased well density opportunities may exist across our acreage base. We closely monitor industry trends with respect to higher well density, which could increase the recovery factor per section and enhance returns since infrastructure is typically in place. We were using two horizontal drilling rigs as of March 31, 2013, and currently intend to add a third horizontal rig in July 2013 and a fourth horizontal rig in the fourth quarter of 2013.</w:t>
      </w:r>
    </w:p>
    <w:p>
      <w:pPr>
        <w:spacing w:after="0" w:line="183" w:lineRule="exact"/>
        <w:rPr>
          <w:rFonts w:ascii="Arial" w:cs="Arial" w:eastAsia="Arial" w:hAnsi="Arial"/>
          <w:sz w:val="17"/>
          <w:szCs w:val="17"/>
          <w:color w:val="auto"/>
        </w:rPr>
      </w:pPr>
    </w:p>
    <w:p>
      <w:pPr>
        <w:jc w:val="both"/>
        <w:ind w:left="980" w:hanging="324"/>
        <w:spacing w:after="0" w:line="270"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experience operating in the Permian Basin. </w:t>
      </w:r>
      <w:r>
        <w:rPr>
          <w:rFonts w:ascii="Arial" w:cs="Arial" w:eastAsia="Arial" w:hAnsi="Arial"/>
          <w:sz w:val="17"/>
          <w:szCs w:val="17"/>
          <w:color w:val="auto"/>
        </w:rPr>
        <w:t>Our executive team, which has an average of approximately 24 years of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per person and significant experience in the Permian Basin, intends to continue to seek ways to maximize hydrocarbon recovery by refining and enhancing our drilling and completion techniques. The time to reach total depth, or TD, for our vertical Wolfberry wells decreased from an average of 20 days during the second quarter of 2011 to an average of 14 days during the period from April 2012 through August 2012 to an average of 11 days during the fourth quarter of 2012. Our focus on efficient drilling and completion techniques, and the reduction in time to reach TD, is an important part of the continuous drilling program we have planned for our significant inventory of identified potential drilling locations. We believe that the experience of our executive team in deviated and horizontal drilling and completions should help reduce the execution risk normally associated with these complex well paths. In addition, our completion techniques are continually evolving as we evaluate hydraulic fracturing practices that may potentially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174" w:lineRule="exact"/>
        <w:rPr>
          <w:rFonts w:ascii="Arial" w:cs="Arial" w:eastAsia="Arial" w:hAnsi="Arial"/>
          <w:sz w:val="17"/>
          <w:szCs w:val="17"/>
          <w:color w:val="auto"/>
        </w:rPr>
      </w:pPr>
    </w:p>
    <w:p>
      <w:pPr>
        <w:jc w:val="both"/>
        <w:ind w:left="980" w:hanging="324"/>
        <w:spacing w:after="0" w:line="29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6"/>
          <w:szCs w:val="16"/>
          <w:color w:val="auto"/>
        </w:rPr>
        <w:t>In the current commodity price environment, our oil and liquids rich asset base provides attractive returns.</w:t>
      </w:r>
      <w:r>
        <w:rPr>
          <w:rFonts w:ascii="Arial" w:cs="Arial" w:eastAsia="Arial" w:hAnsi="Arial"/>
          <w:sz w:val="16"/>
          <w:szCs w:val="16"/>
          <w:b w:val="1"/>
          <w:bCs w:val="1"/>
          <w:color w:val="auto"/>
        </w:rPr>
        <w:t xml:space="preserve"> </w:t>
      </w:r>
      <w:r>
        <w:rPr>
          <w:rFonts w:ascii="Arial" w:cs="Arial" w:eastAsia="Arial" w:hAnsi="Arial"/>
          <w:sz w:val="16"/>
          <w:szCs w:val="16"/>
          <w:color w:val="auto"/>
        </w:rPr>
        <w:t>Our acreage position in the Wolfberry play is generally in contiguous blocks which allows us to develop this acreage efficiently with a “manufacturing” strategy that takes advantage of economies of scale and uses centralized production and fluid handling facilities. We are the operator of approximately 99% of our acreage. This operational control allows us to more efficiently manage the pace of development activities and the gathering and marketing of our production and control operating costs and technical applications, including horizontal development. Our average 87% working interest in our acreage allows us to realize the majority of the benefits of these activities and cost efficiencies.</w:t>
      </w:r>
    </w:p>
    <w:p>
      <w:pPr>
        <w:spacing w:after="0" w:line="161" w:lineRule="exact"/>
        <w:rPr>
          <w:rFonts w:ascii="Arial" w:cs="Arial" w:eastAsia="Arial" w:hAnsi="Arial"/>
          <w:sz w:val="16"/>
          <w:szCs w:val="16"/>
          <w:color w:val="auto"/>
        </w:rPr>
      </w:pPr>
    </w:p>
    <w:p>
      <w:pPr>
        <w:jc w:val="both"/>
        <w:ind w:left="980" w:hanging="324"/>
        <w:spacing w:after="0" w:line="303"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Pursue strategic acquisitions with exceptional resource potential. </w:t>
      </w:r>
      <w:r>
        <w:rPr>
          <w:rFonts w:ascii="Arial" w:cs="Arial" w:eastAsia="Arial" w:hAnsi="Arial"/>
          <w:sz w:val="16"/>
          <w:szCs w:val="16"/>
          <w:color w:val="auto"/>
        </w:rPr>
        <w:t>We have a proven history of acquiring leasehold positions in the Permian</w:t>
      </w:r>
      <w:r>
        <w:rPr>
          <w:rFonts w:ascii="Arial" w:cs="Arial" w:eastAsia="Arial" w:hAnsi="Arial"/>
          <w:sz w:val="16"/>
          <w:szCs w:val="16"/>
          <w:b w:val="1"/>
          <w:bCs w:val="1"/>
          <w:color w:val="auto"/>
        </w:rPr>
        <w:t xml:space="preserve"> </w:t>
      </w:r>
      <w:r>
        <w:rPr>
          <w:rFonts w:ascii="Arial" w:cs="Arial" w:eastAsia="Arial" w:hAnsi="Arial"/>
          <w:sz w:val="16"/>
          <w:szCs w:val="16"/>
          <w:color w:val="auto"/>
        </w:rPr>
        <w:t>Basin that have substantial oil-weighted resource potential and can achieve attractive returns on invested capital. Our executive team, with its extensive experience in the Permian Basin, has what we believe is a competitive advantage in identifying acquisition targets and a proven ability to evaluate resource potential. We intend to continue to pursue acquisitions that meet our strategic and financial targets.</w:t>
      </w:r>
    </w:p>
    <w:p>
      <w:pPr>
        <w:spacing w:after="0" w:line="151" w:lineRule="exact"/>
        <w:rPr>
          <w:rFonts w:ascii="Arial" w:cs="Arial" w:eastAsia="Arial" w:hAnsi="Arial"/>
          <w:sz w:val="16"/>
          <w:szCs w:val="16"/>
          <w:color w:val="auto"/>
        </w:rPr>
      </w:pPr>
    </w:p>
    <w:p>
      <w:pPr>
        <w:jc w:val="both"/>
        <w:ind w:left="980" w:hanging="324"/>
        <w:spacing w:after="0" w:line="303"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Maintain financial flexibility</w:t>
      </w:r>
      <w:r>
        <w:rPr>
          <w:rFonts w:ascii="Arial" w:cs="Arial" w:eastAsia="Arial" w:hAnsi="Arial"/>
          <w:sz w:val="16"/>
          <w:szCs w:val="16"/>
          <w:color w:val="auto"/>
        </w:rPr>
        <w:t>. We seek to maintain a conservative financial position. Upon completion of our initial public offering in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2012, we used a portion of the net proceeds from the offering to repay the entire balance outstanding under our revolving credit facility. On December 28, 2012, the borrowing base under our revolving credit facility was redetermined, resulting in an increase in our availability to $135.0 million, of which the entire balance was fully available as of December 31, 2012 and $98.5 million was available at March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21" w:lineRule="exact"/>
        <w:rPr>
          <w:sz w:val="20"/>
          <w:szCs w:val="20"/>
          <w:color w:val="auto"/>
        </w:rPr>
      </w:pPr>
    </w:p>
    <w:p>
      <w:pPr>
        <w:jc w:val="both"/>
        <w:ind w:left="980" w:hanging="324"/>
        <w:spacing w:after="0" w:line="25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Oil rich resource base in one of North America’s leading resource plays</w:t>
      </w:r>
      <w:r>
        <w:rPr>
          <w:rFonts w:ascii="Arial" w:cs="Arial" w:eastAsia="Arial" w:hAnsi="Arial"/>
          <w:sz w:val="18"/>
          <w:szCs w:val="18"/>
          <w:color w:val="auto"/>
        </w:rPr>
        <w:t>. 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Wolfberry play. We believe that our historical vertical development success will be complemented with horizontal drilling locations that could ultimately translate into an increased recovery factor on a per section basis. Our production for the year ended December 31, 2012 was approximately 70% oil, 17% natural gas liquids and 13% natural gas. As of December 31, 2012, our estimated net proved reserves were comprised of approximately 65% oil and 21% natural gas liquids, which allows us to benefit from the currently more favorable pricing of oil and natural gas liquids as compared to natural gas.</w:t>
      </w:r>
    </w:p>
    <w:p>
      <w:pPr>
        <w:spacing w:after="0" w:line="189" w:lineRule="exact"/>
        <w:rPr>
          <w:rFonts w:ascii="Arial" w:cs="Arial" w:eastAsia="Arial" w:hAnsi="Arial"/>
          <w:sz w:val="18"/>
          <w:szCs w:val="18"/>
          <w:color w:val="auto"/>
        </w:rPr>
      </w:pPr>
    </w:p>
    <w:p>
      <w:pPr>
        <w:jc w:val="both"/>
        <w:ind w:left="980" w:hanging="324"/>
        <w:spacing w:after="0" w:line="287"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Multi-year drilling inventory in one of North America’s leading oil resource plays</w:t>
      </w:r>
      <w:r>
        <w:rPr>
          <w:rFonts w:ascii="Arial" w:cs="Arial" w:eastAsia="Arial" w:hAnsi="Arial"/>
          <w:sz w:val="16"/>
          <w:szCs w:val="16"/>
          <w:color w:val="auto"/>
        </w:rPr>
        <w:t>. 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As of December 31, 2012, we had 881 identified potential vertical drilling locations based on 40-acre spacing and an additional 1,118 identified potential vertical drilling locations based on 20-acre downspacing. We also believe that there are a significant number of horizontal locations that could be drilled on our acreage. Based on our initial results and those of other operators in the area to date, combined with our interpretation of various geologic and engineering data, we have identified 739 potential horizontal locations on our acreage. These locations exist across most of our acreage blocks and in multiple horizons. Of the 739 locations, 355 are in the Wolfcamp A horizon or the Wolfcamp B horizon, with the remaining locations in either the Clearfork, Wolfcamp C or Cline horizons. We have not assigned any horizontal locations to the Spraberry interval but believe that it may also have development potential. Our current horizontal location count is based on 880 foot spacing between wells in the Wolfcamp B horizon in Midland and Upton Counties, and 1,320 foot spacing between wells in all other counties and horizons. The ultimate inter-well spacing may be less than these amounts, which would result in a higher location count. In addition, we have approximately 182 square miles of proprietary 3-D seismic data covering our acreage. This data facilitates the evaluation of our existing drilling inventory and provides insight into future development activity, including horizontal drilling opportunities and strategic leasehold acquisitions.</w:t>
      </w:r>
    </w:p>
    <w:p>
      <w:pPr>
        <w:spacing w:after="0" w:line="164" w:lineRule="exact"/>
        <w:rPr>
          <w:rFonts w:ascii="Arial" w:cs="Arial" w:eastAsia="Arial" w:hAnsi="Arial"/>
          <w:sz w:val="16"/>
          <w:szCs w:val="16"/>
          <w:color w:val="auto"/>
        </w:rPr>
      </w:pPr>
    </w:p>
    <w:p>
      <w:pPr>
        <w:jc w:val="both"/>
        <w:ind w:left="980" w:hanging="324"/>
        <w:spacing w:after="0" w:line="256"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Experienced, incentivized and proven management team</w:t>
      </w:r>
      <w:r>
        <w:rPr>
          <w:rFonts w:ascii="Arial" w:cs="Arial" w:eastAsia="Arial" w:hAnsi="Arial"/>
          <w:sz w:val="18"/>
          <w:szCs w:val="18"/>
          <w:color w:val="auto"/>
        </w:rPr>
        <w:t>. Our executive team has an average of approximately 24 years of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per 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 wells as well as horizontal well reservoir and geologic expertise, which will be of strategic importance as we expand our horizontal drilling activity. Prior to joining us, our Chief Executive Officer held management positions at Apache Corporation, Laredo Petroleum Holdings, Inc. and Burlington Resources.</w:t>
      </w:r>
    </w:p>
    <w:p>
      <w:pPr>
        <w:spacing w:after="0" w:line="187" w:lineRule="exact"/>
        <w:rPr>
          <w:rFonts w:ascii="Arial" w:cs="Arial" w:eastAsia="Arial" w:hAnsi="Arial"/>
          <w:sz w:val="18"/>
          <w:szCs w:val="18"/>
          <w:color w:val="auto"/>
        </w:rPr>
      </w:pPr>
    </w:p>
    <w:p>
      <w:pPr>
        <w:jc w:val="both"/>
        <w:ind w:left="980" w:hanging="324"/>
        <w:spacing w:after="0" w:line="303"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Favorable and stable operating environment</w:t>
      </w:r>
      <w:r>
        <w:rPr>
          <w:rFonts w:ascii="Arial" w:cs="Arial" w:eastAsia="Arial" w:hAnsi="Arial"/>
          <w:sz w:val="16"/>
          <w:szCs w:val="16"/>
          <w:color w:val="auto"/>
        </w:rPr>
        <w:t>. We have focused our drilling and development operations in the Permian Basin,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oldest hydrocarbon basins in the United States, with a long and well-established production history and developed infrastructure. With approximately 380,000 wells drilled in the Permian Basin since the 1940s, we believe that the geological and regulatory environment is more stable and predictable, and that we are faced with less operational risks, in the Permian Basin as compared to emerging hydrocarbon basins.</w:t>
      </w:r>
    </w:p>
    <w:p>
      <w:pPr>
        <w:spacing w:after="0" w:line="151" w:lineRule="exact"/>
        <w:rPr>
          <w:rFonts w:ascii="Arial" w:cs="Arial" w:eastAsia="Arial" w:hAnsi="Arial"/>
          <w:sz w:val="16"/>
          <w:szCs w:val="16"/>
          <w:color w:val="auto"/>
        </w:rPr>
      </w:pPr>
    </w:p>
    <w:p>
      <w:pPr>
        <w:jc w:val="both"/>
        <w:ind w:left="980" w:hanging="324"/>
        <w:spacing w:after="0" w:line="298"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High degree of operational control</w:t>
      </w:r>
      <w:r>
        <w:rPr>
          <w:rFonts w:ascii="Arial" w:cs="Arial" w:eastAsia="Arial" w:hAnsi="Arial"/>
          <w:sz w:val="16"/>
          <w:szCs w:val="16"/>
          <w:color w:val="auto"/>
        </w:rPr>
        <w:t>. We are the operator of approximately 99%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adjust our capital expenditure program based on commodity price outlooks. This operating control also enables us to obtain data needed for efficient exploration of horizontal prospects.</w:t>
      </w:r>
    </w:p>
    <w:p>
      <w:pPr>
        <w:spacing w:after="0" w:line="154" w:lineRule="exact"/>
        <w:rPr>
          <w:rFonts w:ascii="Arial" w:cs="Arial" w:eastAsia="Arial" w:hAnsi="Arial"/>
          <w:sz w:val="16"/>
          <w:szCs w:val="16"/>
          <w:color w:val="auto"/>
        </w:rPr>
      </w:pPr>
    </w:p>
    <w:p>
      <w:pPr>
        <w:jc w:val="both"/>
        <w:ind w:left="980" w:hanging="324"/>
        <w:spacing w:after="0" w:line="281"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Financial flexibility to fund expansion</w:t>
      </w:r>
      <w:r>
        <w:rPr>
          <w:rFonts w:ascii="Arial" w:cs="Arial" w:eastAsia="Arial" w:hAnsi="Arial"/>
          <w:sz w:val="17"/>
          <w:szCs w:val="17"/>
          <w:color w:val="auto"/>
        </w:rPr>
        <w:t>. We have a conservative balance sheet. We will seek to maintain financial flexibility to allow us to</w:t>
      </w:r>
      <w:r>
        <w:rPr>
          <w:rFonts w:ascii="Arial" w:cs="Arial" w:eastAsia="Arial" w:hAnsi="Arial"/>
          <w:sz w:val="17"/>
          <w:szCs w:val="17"/>
          <w:b w:val="1"/>
          <w:bCs w:val="1"/>
          <w:color w:val="auto"/>
        </w:rPr>
        <w:t xml:space="preserve"> </w:t>
      </w:r>
      <w:r>
        <w:rPr>
          <w:rFonts w:ascii="Arial" w:cs="Arial" w:eastAsia="Arial" w:hAnsi="Arial"/>
          <w:sz w:val="17"/>
          <w:szCs w:val="17"/>
          <w:color w:val="auto"/>
        </w:rPr>
        <w:t>actively develop our drilling, exploitation and exploration activities in the Wolfberry play and maximize the present value of our oil-weighted resource potential. As of March 31, 2013, we had $36.5 million of outstanding borrowings under our revolving credit facility and available borrowing capacity of $98.5 million. We expect that our borrowing base will be increased as we increase our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acquired approximately 4,174 net acres in West Texas (near Midland) in the Permian Basin on December 20, 2007, with an effective date of November 1, 2007, from ExL Petroleum, LP, Ambrose Energy I, Ltd. and certain other sellers. Subsequently, we acquired approximately 47,429 additional net acres, which brought our total net acreage position in the Permian Basin to approximately 51,603 net acres at December 31, 2012. Since our initial acquisition in the Permian Basin through December 31, 2012, we drilled or participated in the drilling of 211 gross (184 net) wells on our leasehold in this area, primarily targeting the Wolfberry play. We are the operator of approximately 99% of our Permian Basin acreage. The Permian Basin area covers a significant portion of western Texas and eastern New Mexico and is considered one of the major producing basins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As of December 31, 2012, we held interests in 225 gross (201 net) producing wells.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Permian Basin formed as an area of rapid Mississippian-Pennsylvanian subsidence in the foreland of the Ouachita fold belt. It is one of the largest sedimentary basins in the U.S., and has oil and gas production from several reservoirs from Permian through Ordovician in age. The term “Wolfberry” was coined initially to indicate commingled production from the Permian Spraberry, Dean and Wolfcamp formations. In this prospectus, we refer to the Clearfork, Spraberry, Wolfcamp, Cline, Strawn and Atoka formations collectively as the Wolfberry play. The Wolfberry play of the Midland Basin lies in the area where the historically productive Spraberry trend geographically overlaps the productive area of the emerging Wolfcamp play. The Spraberry was deposited as turbidites in a deep water submarine fan environment, while the Wolfcamp reservoirs consist of debris-flow and grain-flow sediments, which were also deposited in a submarine fan setting. The best carbonate reservoirs within the Wolfcamp are generally found in proximity to the Central Basin Platform, while the shale reservoirs within the Wolfcamp thicken basinward away from the Central Basin Platform. Both the Spraberry and Wolfcamp contain organic-rich mudstones and shales which, when buried to sufficient depth for maturation, became the source of the hydrocarbons found in the reservoirs.</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Wolfberry play can be generally characterized as a combination of low-permeability clastic, carbonate and shale reservoirs which are hydrocarbon-charged and are economic due to the overall thickness of the section (more than 3,000 feet) and application of enhanced stimulation (fracking) techniques. The Wolfberry is an unconventional “basin-centered oil” resource play, in the sense that there is no regional downdip oil/water contact.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Several shale intervals within the Wolfcamp formation are currently being evaluated for horizontal development potential, and initial drilling to explore these intervals commenced in 2012. The shales exhibit micro-darcy permeabilities which result in relatively small drainage areas and recovery factors. Because of this, we believe the horizontal exploitation of these reservoirs will supplement, and not replace, our vertical development program.</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also productive carbonate and shale intervals within the shallower Permian Clearfork formation. Two shale intervals within the Clearfork formation are currently being evaluated for potential horizontal development. Below the Wolfcamp formation lie the Pennsylvanian Strawn and Atoka formations. Although difficult to predict, there are conventional pay intervals that develop locally within these formations which, when present, can add significant reserves.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Debris flows within the Spraberry and Wolfcamp carbonates have been observed on 3-D seismic surveys. Initial tests have confirmed the presence of enhanced reservoir. Additionally, structural closures have been mapped and are being evaluated for drilling to test deeper targets. Our extensive geophysical database, which includes approximately 182 square miles of proprietary 3-D seismic data, will be used to enhance grading of future locations.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2012, net production from our Permian Basin acreage was 1,078,321 BOE, or an average of 2,946 BOE/d, of which 70% was oil, 17% was natural gas liquids and 13% was natural gas.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land oil and gas processing facilities are typical of those found in the Permian Basin. Our facilities located at well locations include storage tank batteries, oil/gas/water separation equipment and pumping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Activity</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2013, we expect to drill an estimated 37 gross (32 net) vertical wells and 33 gross (29 net) horizontal wells on our acreage. We estimate that our capital expenditures for 2013 will be between $ million and $ million, which includes costs for infrastructure and non-operated wells but does not include the cost of any land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Rule-Making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2008, the Securities and Exchange Commission, or the SEC, released its final rule for “Modernization of Oil and Gas Reporting.” These rules require disclosure of oil and gas proved reserves by significant geographic area, using the arithmetic 12-month average beginning-of-the-month price for the year, as opposed to year-end prices as had previously been required, unless contractual arrangements designate the price to be used. Other significant amendments included the following:</w:t>
      </w:r>
    </w:p>
    <w:p>
      <w:pPr>
        <w:spacing w:after="0" w:line="79"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Disclosure of unproved reserves: probable and possible reserves may be disclosed separately on a voluntary basis.</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Proved undeveloped reserve guidelines: reserves may be classified as proved undeveloped if there is a high degree of confidence that the quantities will be recovered and they are scheduled to be drilled within the next five years, unless the specific circumstances justify a longer time.</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Reserves estimation using new technologies: reserves may be estimated through the use of reliable technology in addition to flow tests and production history.</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Reserves personnel and estimation process: additional disclosure is required regarding the qualifications of the chief technical person who oversees the reserves estimation process. We are also required to provide a general discussion of our internal controls used to assure the objectivity of the reserves estimate.</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Non-traditional resources: the definition of oil and gas producing activities has expanded and focuses on the marketable product rather than the method of extraction.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adopted the rules effective December 31, 2009, as required by the SEC.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historical reserve estimates were prepared by Ryder Scott as of December 31, 2012 and 2011 and by Pinnacle Energy Services, LLC, or Pinnacle, as of December 31, 2010, in each case with respect to our assets in the Permian Basin.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Ryder Scott and Pinnacle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Neither independent third-party engineering firm owns an interest in any of our properties or is employed by us on a contingent basis.</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2012 proved reserves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85%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15%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Vice President—Reservoir Engineering is primarily responsible for overseeing the preparation of all of our reserve estimates. Our Vice President—Reservoir Engineering is a petroleum engineer with over 30 years of reservoir and operations experience and our geoscience staff has an average of approximately 26 years of industry experience per person. Our technical staff uses historical information for our properties such as ownership interest, oil and gas production, well test data, commodity prices and operating and development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62"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preparation of reserve estimates by our Vice President—Reservoir Engineering or under his direct supervision;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by our Vice President—Reservoir Engineering of all of our reported proved reserves at the close of each quarter, including the review of all significant reserve changes and all new proved undeveloped reserves additions;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reporting responsibilities by our Vice President—Reservoir Engineering to our Chief Executive Officer;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presents our estimated net proved oil and natural gas reserves and the present value of our reserves as of December 31, 2012 and 2011, based on the reserve report prepared by Ryder Scott, and as of December 31, 2010, based on the reserve report prepared by Pinnacle, each an independent petroleum engineering firm, and such reserve reports have been prepared in accordance with the rules and regulations of the SEC. All our proved reserves included in the reserve reports are located in North America. Ryder Scott and Pinnacle prepared all our reserve estimates as of the periods covered by their respective reports.</w:t>
      </w:r>
    </w:p>
    <w:p>
      <w:pPr>
        <w:spacing w:after="0" w:line="36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3"/>
              </w:rPr>
              <w:t>Historical</w:t>
            </w:r>
          </w:p>
        </w:tc>
        <w:tc>
          <w:tcPr>
            <w:tcW w:w="100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3060" w:type="dxa"/>
            <w:vAlign w:val="bottom"/>
            <w:gridSpan w:val="5"/>
          </w:tcPr>
          <w:p>
            <w:pPr>
              <w:jc w:val="center"/>
              <w:ind w:left="939"/>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4"/>
              </w:rPr>
              <w:t>2011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33"/>
        </w:trPr>
        <w:tc>
          <w:tcPr>
            <w:tcW w:w="57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Estimated proved developed reserves: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Oil (Bbls)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7,189,367</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3,949,099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3,371,460</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Natural gas (Mcf)</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12,864,941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5,285,945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4,336,720</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Natural gas liquids (Bbls)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2,999,440</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1,263,710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1,126,431</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(BOE)</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12,332,964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6,093,800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5,220,678</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b w:val="1"/>
                <w:bCs w:val="1"/>
                <w:color w:val="auto"/>
              </w:rPr>
              <w:t>Estimated proved undeveloped reserves: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Oil (Bbls)</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19,007,492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14,151,337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16,258,700</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Natural gas (Mcf)</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21,705,207</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15,265,522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18,358,360</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Natural gas liquids (Bbls)</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5,251,989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3,785,849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4,706,536</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Total (BOE)</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27,877,016</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20,481,440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24,024,963</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Estimated Net Proved Reserves: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Oil (Bbls)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26,196,859</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18,100,436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19,630,160</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Natural gas (Mcf)</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34,570,148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20,551,467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22,695,080</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Natural gas liquids (Bbls)</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8,251,429</w:t>
            </w:r>
          </w:p>
        </w:tc>
        <w:tc>
          <w:tcPr>
            <w:tcW w:w="20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5,049,559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5,832,967</w:t>
            </w:r>
          </w:p>
        </w:tc>
      </w:tr>
      <w:tr>
        <w:trPr>
          <w:trHeight w:val="33"/>
        </w:trPr>
        <w:tc>
          <w:tcPr>
            <w:tcW w:w="5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(BOE)</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40,209,979</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26,575,240</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29,245,641</w:t>
            </w: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Percent proved developed</w:t>
            </w:r>
          </w:p>
        </w:tc>
        <w:tc>
          <w:tcPr>
            <w:tcW w:w="1220" w:type="dxa"/>
            <w:vAlign w:val="bottom"/>
          </w:tcPr>
          <w:p>
            <w:pPr>
              <w:jc w:val="right"/>
              <w:spacing w:after="0"/>
              <w:rPr>
                <w:sz w:val="20"/>
                <w:szCs w:val="20"/>
                <w:color w:val="auto"/>
              </w:rPr>
            </w:pPr>
            <w:r>
              <w:rPr>
                <w:rFonts w:ascii="Arial" w:cs="Arial" w:eastAsia="Arial" w:hAnsi="Arial"/>
                <w:sz w:val="16"/>
                <w:szCs w:val="16"/>
                <w:color w:val="auto"/>
              </w:rPr>
              <w:t>30.7%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jc w:val="both"/>
        <w:ind w:left="340" w:hanging="332"/>
        <w:spacing w:after="0" w:line="29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Estimates of reserves as of December 31, 2012, 2011 and 2010 were prepared using an average price equal to the unweighted arithmetic average of hydrocarbon prices received on a field-by-field basis on the first day of each month within the 12-month periods ended December 31, 2012, 2011 and 2010, respectively, in accordance with revised SEC guidelines applicable to reserve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13 of this prospectus. We have not filed any estimates of total, proved net oil or natural gas reserves with any federal authority or agency other than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information regarding our proved reserves can be found in the reserve report as of December 31, 2012 included as Appendix B to this prospectus.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December 31, 2012, our proved undeveloped reserves totaled 19,008 MBbls of oil, 21,705 MMcf of natural gas and 5,251 MBbls of natural gas liquids, for a total of 27,877 MBOE. PUDs will be converted from undeveloped to developed as the applicable wells begin production.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PUDs that occurred during 2012 were primarily due to:</w:t>
      </w:r>
    </w:p>
    <w:p>
      <w:pPr>
        <w:spacing w:after="0" w:line="11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of 3,167 MBOE attributable to extensions resulting from strategic drilling of wells by us to delineate our acreage position;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of approximately 3,224 MBOE attributable to PUDs into proved developed reserves;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revisions of approximately 625 MBOE in PUDs due to a combination of lower product prices causing wells to reach economic limit earlier, adjustments in working interest and performance revisions;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of reserves in place of 8,077 MBOE.</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incurred relating to the development of PUDs were approximately $50.2 million during 2012. Estimated future development costs relating to the development of PUDs are projected to be approximately $136.8 million in 2013, $132.0 million in 2014, $154.8 million in 2015, $97.9 million in 2016 and $20.0 million in 2017. Since our current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PUD drilling locations are scheduled to be drilled prior to the end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1.2% of our total proved reserves were classified as proved developed non-producing.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our net production of oil, natural gas and natural gas liquids, all of which is from the Permian Basin in West Texas, and certain price and cost information for each of the periods indicated:</w:t>
      </w:r>
    </w:p>
    <w:p>
      <w:pPr>
        <w:spacing w:after="0" w:line="200" w:lineRule="exact"/>
        <w:rPr>
          <w:sz w:val="20"/>
          <w:szCs w:val="20"/>
          <w:color w:val="auto"/>
        </w:rPr>
      </w:pPr>
    </w:p>
    <w:p>
      <w:pPr>
        <w:spacing w:after="0" w:line="25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Historical</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7"/>
        </w:trPr>
        <w:tc>
          <w:tcPr>
            <w:tcW w:w="5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Oil (Bbls)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756,286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449,434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280,721</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(Mcf)</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323,847</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Natural gas liquids (Bbl)</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183,114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86,815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79,978</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volumes (BOE)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1,078,320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605,189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414,674</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1,136</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Average Prices</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Oil (per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86.88</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76.51</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(per Mcf)</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4.32</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Natural gas liquids (per Bbl)</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44.56</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(per BOE)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63.77</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Average Costs (per BOE):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11.07</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Gathering and transportation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0.26</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Production taxes as a % of sales</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19.64</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9.62</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7.32</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jc w:val="both"/>
        <w:ind w:left="340" w:hanging="332"/>
        <w:spacing w:after="0" w:line="255"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giving effect to our hedging arrangements, the average prices per Bbl of oil and per BOE were $79.68 and $64.47, respectively, during the year ended December 31, 2012, and $92.15 and $79.05, respectively, during the year ended December 31, 2011. Average prices for our hydrocarbons were not impacted by hedging arrangements during 2010.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2012, we owned an average 87.0% working interest in 225 gross (201 net)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as of December 31, 2012 relating to our leasehold acreage:</w:t>
      </w:r>
    </w:p>
    <w:p>
      <w:pPr>
        <w:spacing w:after="0" w:line="366" w:lineRule="exact"/>
        <w:rPr>
          <w:sz w:val="20"/>
          <w:szCs w:val="20"/>
          <w:color w:val="auto"/>
        </w:rPr>
      </w:pPr>
    </w:p>
    <w:tbl>
      <w:tblPr>
        <w:tblLayout w:type="fixed"/>
        <w:tblInd w:w="500" w:type="dxa"/>
        <w:tblCellMar>
          <w:top w:w="0" w:type="dxa"/>
          <w:left w:w="0" w:type="dxa"/>
          <w:bottom w:w="0" w:type="dxa"/>
          <w:right w:w="0" w:type="dxa"/>
        </w:tblCellMar>
      </w:tblPr>
      <w:tr>
        <w:trPr>
          <w:trHeight w:val="287"/>
        </w:trPr>
        <w:tc>
          <w:tcPr>
            <w:tcW w:w="2620" w:type="dxa"/>
            <w:vAlign w:val="bottom"/>
          </w:tcPr>
          <w:p>
            <w:pPr>
              <w:spacing w:after="0"/>
              <w:rPr>
                <w:sz w:val="24"/>
                <w:szCs w:val="24"/>
                <w:color w:val="auto"/>
              </w:rPr>
            </w:pPr>
          </w:p>
        </w:tc>
        <w:tc>
          <w:tcPr>
            <w:tcW w:w="2740" w:type="dxa"/>
            <w:vAlign w:val="bottom"/>
            <w:gridSpan w:val="4"/>
          </w:tcPr>
          <w:p>
            <w:pPr>
              <w:ind w:left="42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25"/>
                <w:szCs w:val="25"/>
                <w:b w:val="1"/>
                <w:bCs w:val="1"/>
                <w:color w:val="auto"/>
                <w:vertAlign w:val="superscript"/>
              </w:rPr>
              <w:t>(1)</w:t>
            </w:r>
          </w:p>
        </w:tc>
        <w:tc>
          <w:tcPr>
            <w:tcW w:w="2700" w:type="dxa"/>
            <w:vAlign w:val="bottom"/>
            <w:gridSpan w:val="4"/>
          </w:tcPr>
          <w:p>
            <w:pPr>
              <w:ind w:left="300"/>
              <w:spacing w:after="0"/>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25"/>
                <w:szCs w:val="25"/>
                <w:b w:val="1"/>
                <w:bCs w:val="1"/>
                <w:color w:val="auto"/>
                <w:vertAlign w:val="superscript"/>
              </w:rPr>
              <w:t>(2)</w:t>
            </w:r>
          </w:p>
        </w:tc>
        <w:tc>
          <w:tcPr>
            <w:tcW w:w="23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Total Acreage</w:t>
            </w:r>
          </w:p>
        </w:tc>
      </w:tr>
      <w:tr>
        <w:trPr>
          <w:trHeight w:val="261"/>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Basin</w:t>
            </w:r>
          </w:p>
        </w:tc>
        <w:tc>
          <w:tcPr>
            <w:tcW w:w="130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(3)</w:t>
            </w:r>
          </w:p>
        </w:tc>
        <w:tc>
          <w:tcPr>
            <w:tcW w:w="1440" w:type="dxa"/>
            <w:vAlign w:val="bottom"/>
            <w:gridSpan w:val="2"/>
          </w:tcPr>
          <w:p>
            <w:pPr>
              <w:ind w:left="34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(4)</w:t>
            </w:r>
          </w:p>
        </w:tc>
        <w:tc>
          <w:tcPr>
            <w:tcW w:w="126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(3)</w:t>
            </w:r>
          </w:p>
        </w:tc>
        <w:tc>
          <w:tcPr>
            <w:tcW w:w="1440" w:type="dxa"/>
            <w:vAlign w:val="bottom"/>
            <w:gridSpan w:val="2"/>
          </w:tcPr>
          <w:p>
            <w:pPr>
              <w:ind w:left="34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(4)</w:t>
            </w:r>
          </w:p>
        </w:tc>
        <w:tc>
          <w:tcPr>
            <w:tcW w:w="1240" w:type="dxa"/>
            <w:vAlign w:val="bottom"/>
            <w:gridSpan w:val="2"/>
          </w:tcPr>
          <w:p>
            <w:pPr>
              <w:ind w:left="26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(3)</w:t>
            </w:r>
          </w:p>
        </w:tc>
        <w:tc>
          <w:tcPr>
            <w:tcW w:w="1140" w:type="dxa"/>
            <w:vAlign w:val="bottom"/>
          </w:tcPr>
          <w:p>
            <w:pPr>
              <w:jc w:val="right"/>
              <w:ind w:right="29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(4)</w:t>
            </w:r>
          </w:p>
        </w:tc>
      </w:tr>
      <w:tr>
        <w:trPr>
          <w:trHeight w:val="237"/>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Permian</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9,560</w:t>
            </w:r>
          </w:p>
        </w:tc>
        <w:tc>
          <w:tcPr>
            <w:tcW w:w="1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8,184</w:t>
            </w:r>
          </w:p>
        </w:tc>
        <w:tc>
          <w:tcPr>
            <w:tcW w:w="3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49,645</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43,419</w:t>
            </w:r>
          </w:p>
        </w:tc>
        <w:tc>
          <w:tcPr>
            <w:tcW w:w="3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59,205</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51,603</w:t>
            </w:r>
          </w:p>
        </w:tc>
      </w:tr>
      <w:tr>
        <w:trPr>
          <w:trHeight w:val="27"/>
        </w:trPr>
        <w:tc>
          <w:tcPr>
            <w:tcW w:w="26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 not include undrilled acreage held by production under the terms of the lease.</w:t>
      </w:r>
    </w:p>
    <w:p>
      <w:pPr>
        <w:spacing w:after="0" w:line="7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8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as of December 31, 2012, that will expire over the next five years unless production is established within the spacing units covering the acreage or the lease is renewed or extended under continuous drilling provisions prior to the primary term expiration dates.</w:t>
      </w:r>
    </w:p>
    <w:p>
      <w:pPr>
        <w:spacing w:after="0" w:line="34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Basin</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Gross</w:t>
            </w: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Gross</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Gross</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rPr>
              <w:t>Net</w:t>
            </w:r>
          </w:p>
        </w:tc>
      </w:tr>
      <w:tr>
        <w:trPr>
          <w:trHeight w:val="27"/>
        </w:trPr>
        <w:tc>
          <w:tcPr>
            <w:tcW w:w="1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Permian</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17,286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1,820</w:t>
            </w:r>
          </w:p>
        </w:tc>
      </w:tr>
      <w:tr>
        <w:trPr>
          <w:trHeight w:val="27"/>
        </w:trPr>
        <w:tc>
          <w:tcPr>
            <w:tcW w:w="10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information with respect to the number of wells completed during the periods indicated.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34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Year Ended December 31,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89"/>
              </w:rPr>
              <w:t>2010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Net</w:t>
            </w:r>
          </w:p>
        </w:tc>
        <w:tc>
          <w:tcPr>
            <w:tcW w:w="46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660" w:type="dxa"/>
            <w:vAlign w:val="bottom"/>
          </w:tcPr>
          <w:p>
            <w:pPr>
              <w:jc w:val="right"/>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Development:</w:t>
            </w: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Dry</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Exploratory:</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Productive</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Dry</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2012, we had 19 gross (15.3 net) wells in the process of drilling, completing or dewatering or shut in awaiting infrastructure that are not reflected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market the majority of the oil and natural gas production from properties we operate for both our account and the account of the other working interest owners in these properties. We sell our natural gas production to purchasers at market prices. In March 2009, we entered into an agreement with Windsor Midstream LLC, or Midstream, an entity controlled by Wexford, our equity sponsor. During 2010 and 2011, Midstream purchased a significant portion of our oil volumes. Effective December 1, 2011 we ceased all sales of our production under this agreement and effective January 1, 2012 the agreement was canceled. We sell all of our natural gas under contracts with terms of greater than twelve months and all of our oil under contracts with terms of twelve months or less, excluding a five year oil purchase agreement with Shell Trading (US) Company, or Shell Trading, described below.</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normally sell production to a relatively small number of customers, as is customary in the exploration, development and production business. For the year ended December 31, 2012, three purchasers each accounted for more than 10% of our revenue: Plains Marketing, L.P. (53%); Occidental Energy Marketing, Inc. (16%); and Andrews Oil Buyers, Inc. (10%). For the years ended December 31, 2011 and 2010, one purchaser, Midstream, accounted for approximately 79% of our revenue in both periods. No other customer accounted for more than 10% of our revenue during these periods. If a major customer decided to stop purchasing oil and natural gas from us, revenue could decline and our operating results and financial condition could be harmed. However, based on the current demand for oil and natural gas, and the availability of other purchasers, we believe that the loss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one or all of our major purchasers would not have a material adverse effect on our financial condition and results of operations, as crude oil and natural gas are fungible products with well-established markets and numerous purchasers.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24, 2012, we entered into an oil purchase agreement with Shell Trading, in which we agreed to sell specified quantities of oil to Shell Trading. We are obligated to commence delivery of our oil to Shell Trading upon completion of the reversal of the Longhorn pipeline and its conversion for oil shipment, which we refer to as the completion date, which is currently anticipated to occur during the third quarter of 2013, although earlier delivery into the pipeline is anticipated as the pipeline commences line fill and start up operations. Our agreement with Shell Trading has an initial term of five years from the completion date. Each party has the right to terminate the agreement by written notice to the other party without any obligations to the other party in the event that the completion date does not occur by January 15, 2014. The agreement may also be terminated by Shell Trading by written notice to us in the event that Shell Trading’s contract for transportation on the pipeline is terminated.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delivery obligation under this agreement is 5,000 barrels per day from the service commencement date to March 31, 2013, 6,000 barrels per day from April 1, 2013 to September 30, 2013 and 8,000 barrels per day during the remainder of the term of the agreement. We have a one-time right to elect to decrease the contract quantity by not more than 20% of the then-current quantity, which decreased contract quantity will be effective for the remainder of the term of the agreement. Shell Trading has agreed to pay to us the price per barrel of oil based on the arithmetic average of the daily settlement price for “Light Sweet Crude Oil” Prompt Month future contracts reported by the New York Mercantile Exchange over the one-month period, as adjusted based on adjustment formulas specified in the agreement. If we fail to deliver the required quantities of oil under the agreement during any three-month period following the service commencement date, we have agreed to pay Shell Trading a deficiency payment, which is calculated by multiplying (i) the volume of oil that we failed to deliver as required under the agreement during such period by (ii) Magellan’s Longhorn Spot tariff rate in effect for transportation from Crane, Texas to the Houston Ship Channel for the period of time for which such deficiency volume is calculated.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initial development of our fields we consider all gathering and delivery infrastructure in the areas of our production. Our oil is transported from the wellhead to our tank batteries by our gathering systems. The oil is then transported by the purchaser by truck to a tank farm where it is further transported by pipeline. Our natural gas is generally transported from the wellhead to the purchaser’s pipeline interconnection point through our gathering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18.75% to 25.00%, resulting in a net revenue interest to us generally ranging from 81.25% to 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demand for oil and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oil and natural gas exploration, development and production operations are subject to stringent laws and regulations governing the discharge of materials into the environment or otherwise relating to environmental protection. Numerous governmental agencies, such as the U.S. Environmental Protection Agency, or the EPA, issue regulations which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sensitive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 to our owned or operated facilities. The strict and joint and several liability nature of such laws and regulations could impose liability upon us regardless of fault.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3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Waste Handling</w:t>
      </w:r>
      <w:r>
        <w:rPr>
          <w:rFonts w:ascii="Arial" w:cs="Arial" w:eastAsia="Arial" w:hAnsi="Arial"/>
          <w:sz w:val="17"/>
          <w:szCs w:val="17"/>
          <w:color w:val="auto"/>
        </w:rPr>
        <w:t>. The Resource Conservation and Recovery Act, as amended, or RCRA, and comparable state statutes and regulations promulgated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RCRA, sometimes in conjunction with their own, more stringent requirements. Although most wastes associated with the exploration, development and production of crude oil and natural gas are exempt from regulation as hazardous wastes under RCRA, such wastes may constitute “solid wastes” that are subject to the less stringent requirements of non-hazardous waste provisions. However, we cannot assure you that the EPA or state or local governments will not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Any such changes in the laws and regulations could have a material adverse effect on our capital expenditures and operating expenses.</w:t>
      </w:r>
    </w:p>
    <w:p>
      <w:pPr>
        <w:spacing w:after="0" w:line="3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Remediation of Hazardous Substances</w:t>
      </w:r>
      <w:r>
        <w:rPr>
          <w:rFonts w:ascii="Arial" w:cs="Arial" w:eastAsia="Arial" w:hAnsi="Arial"/>
          <w:sz w:val="16"/>
          <w:szCs w:val="16"/>
          <w:color w:val="auto"/>
        </w:rPr>
        <w:t>. The Comprehensive Environmental Response, Compensation and Liability Act, as amended, also known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CERCLA or the “Superfund” law, and analogous state laws, generally imposes strict and joint and several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may be subject to strict and joint and several liability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3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Water Discharges</w:t>
      </w:r>
      <w:r>
        <w:rPr>
          <w:rFonts w:ascii="Arial" w:cs="Arial" w:eastAsia="Arial" w:hAnsi="Arial"/>
          <w:sz w:val="16"/>
          <w:szCs w:val="16"/>
          <w:color w:val="auto"/>
        </w:rPr>
        <w:t>. The Federal Water Pollution Control Act of 1972, as amended, also known as the “Clean Water Act,” the Safe Drinking Water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the Oil Pollution Act, or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The Clean Water Act and regulations implemented thereunder also prohibit the discharge of dredge and fill material into regulated waters, including jurisdictional wetlands, unless authorized by an appropriately issued permit. Spill prevention, control and countermeasure plan requirements under federal law require appropriate containment berms and similar structures to help prevent the contamination of navigable waters in the event of a petroleum hydrocarbon tank spill, rupture or leak. These laws and regulations also prohibit certain activity in wetlands unless authorized by a permit issued by the U.S. Army Corps of Engineers. The EPA has also adopted regulations requiring certain oil and natural gas exploration and production facilities to obtain individual permits or coverage under general permits for storm water discharges. In addition, on October 20, 2011, the EPA announced a schedule to develop pre-treatment standards for wastewater discharges produced by natural gas extraction from underground coalbed and shale formations. The EPA stated that it will gather data, consult with stakeholders, including ongoing consultation with industry, and solicit public comment on a proposed rule for coalbed methane in 2013 and a proposed rule for shale gas in 2014.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3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Oil Pollution Act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joint and several liability for all containment and cleanup costs and certain other damages arising from a release, including, but not limited to, the costs of responding to a release of oil to surface waters.</w:t>
      </w:r>
    </w:p>
    <w:p>
      <w:pPr>
        <w:spacing w:after="0" w:line="3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Noncompliance with the Clean Water Act or OPA may result in substantial administrative, civil and criminal penalties, as well as injunctive obligations. We believe we are in material compliance with the requirements of each of these laws.</w:t>
      </w:r>
    </w:p>
    <w:p>
      <w:pPr>
        <w:spacing w:after="0" w:line="3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Air Emissions</w:t>
      </w:r>
      <w:r>
        <w:rPr>
          <w:rFonts w:ascii="Arial" w:cs="Arial" w:eastAsia="Arial" w:hAnsi="Arial"/>
          <w:sz w:val="17"/>
          <w:szCs w:val="17"/>
          <w:color w:val="auto"/>
        </w:rPr>
        <w:t>. The federal Clean Air Act, as amended, and comparable state laws and regulations, regulate emissions of various air pollutants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w:t>
      </w:r>
      <w:r>
        <w:rPr>
          <w:rFonts w:ascii="Arial" w:cs="Arial" w:eastAsia="Arial" w:hAnsi="Arial"/>
          <w:sz w:val="17"/>
          <w:szCs w:val="17"/>
          <w:i w:val="1"/>
          <w:iCs w:val="1"/>
          <w:color w:val="auto"/>
        </w:rPr>
        <w:t>—Regulation of Hydraulic Fracturing</w:t>
      </w:r>
      <w:r>
        <w:rPr>
          <w:rFonts w:ascii="Arial" w:cs="Arial" w:eastAsia="Arial" w:hAnsi="Arial"/>
          <w:sz w:val="17"/>
          <w:szCs w:val="17"/>
          <w:color w:val="auto"/>
        </w:rPr>
        <w:t>.”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Climate Change</w:t>
      </w:r>
      <w:r>
        <w:rPr>
          <w:rFonts w:ascii="Arial" w:cs="Arial" w:eastAsia="Arial" w:hAnsi="Arial"/>
          <w:sz w:val="16"/>
          <w:szCs w:val="16"/>
          <w:color w:val="auto"/>
        </w:rPr>
        <w:t>. In December 2009, the EPA issued an Endangerment Finding that determined that emissions of carbon dioxide, methane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GHGs present an endangerment to public health and the environment because, according to the EPA, emissions of such gases contribute to warming of the earth’s atmosphere and other climatic changes. These findings by the EPA allowed the agency to proceed with the adoption and implementation of regulations that would restrict emissions of GHGs under existing provisions of the federal Clean Air Act. Subsequently, the EPA adopted two sets of related rules, one of which purports to regulate emissions of GHGs from motor vehicles and the other of which regulates emissions of GHGs from certain large stationary sources of emissions such as power plants or industrial facilities. The EPA finalized the motor vehicle rule, which purports to limit emissions of GHGs from motor vehicles manufactured in model years 2012-2016, in April 2010 and it became effective in January 2011. A recent rulemaking proposal by the EPA and the Department of Transportation’s National Highway Traffic Safety Administration seeks to expand the motor vehicle rule to include vehicles manufactured in model years 2017-2025. The EPA adopted the stationary source rule, also known as the “Tailoring Rule,” in May 2010, and it also became effective in January 2011. The Tailoring Rule establishes new GHG emissions thresholds that determine when stationary sources must obtain permits under the Prevention of Significant Deterioration, or PSD, and Title V programs of the Clean Air Act. Facilities required to obtain PSD permits for their GHG emissions also will be required to meet “best available control technology” standards, which will be established by the states or, in some instances, by the EPA on a case-by-case basis. Additionally, in September 2009, the EPA issued a final rule requiring the reporting of GHG emissions from specified large GHG emission sources in the U.S., including natural gas liquids fractionators and local natural gas/distribution companies, beginning in 2011 for emissions occurring in 2010. In November 2010, the EPA expanded its existing GHG reporting rule to include onshore and offshore oil and natural gas production and onshore processing, transmission, storage and distribution facilities, which may include certain of our facilities, beginning in 2012 for emissions occurring in 2011. In addition, the EPA has continued to adopt GHG regulations of other industries, such as the March 2012 proposed GHG rule restricting future development of coal-fired power plants. The proposed rule underwent an extended public comment process, which concluded on June 25, 2012. The EPA is also under a legal obligation pursuant to a consent decree with certain environmental groups to issue new source performance standards for refineries. The EPA is also considering additional regulation of greenhouse gases as “air pollutants.” As a result of this continued regulatory focus, future GHG regulations of the oil and gas industry remain a possibility.</w:t>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 Most of these cap and trade programs work by requiring major sources of emissions, such as electric power plants or major producers of fuels, such as refineries and gas processing plants, to acquire and surrender emission allowances that correspond to their annual emissions of GHGs. The number of allowances available for purchase is reduced each year until the overall GHG emission reduction goal is achieved. As the number of GHG emission allowances declines each year, the cost or value of such allowances is expected to escalate significantly.</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in various states could adversely affect the oil and natural gas industry. Currently, while we are subject to certain federal GHG monitoring and reporting requirements, our operations are not adversely impacted by existing federal, state and local climate change initiatives and, at this time, it is not possible to accurately estimate how potential future laws or regulations addressing GHG emissions would impact our business.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involves the injection of water, sand and chemicals under pressure into formations to fracture the surrounding rock and stimulate production. The federal Safe Drinking Water Act, or SDWA, regulates the underground injection of substances through the Underground Injection Control, or UIC, program. Hydraulic fracturing generally is exempt from regulation under the UIC program, and the hydraulic fracturing process is typically regulated by state oil and gas commissions. The EPA, however, has recently taken the position that hydraulic fracturing with fluids containing diesel fuel is subject to regulation under the UIC program, specifically as “Class II” UIC wells. At the same time, the White House Council on Environmental Quality is coordinating an administration–wide review of hydraulic fracturing practices and the EPA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has commenced a study of the potential environmental impacts of hydraulic fracturing activities. Moreover, the EPA announced on October 20, 2011 that it is also launching a study regarding wastewater resulting from hydraulic fracturing activities and currently plans to propose standards by 2014 that such wastewater must meet before being transported to a treatment plant. As part of these studies, the EPA has requested that certain companies provide them with information concerning the chemicals used in the hydraulic fracturing process. These studies, depending on their results, could spur initiatives to regulate hydraulic fracturing under the SDWA or otherwise.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Legislation to amend the SDWA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were proposed in recent sessions of Congress. The U.S. Congress continues to consider legislation to amend the SDWA.</w:t>
      </w:r>
    </w:p>
    <w:p>
      <w:pPr>
        <w:spacing w:after="0" w:line="3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16, 2012, the EPA approved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or VOCs, and a separate set of emission standards to address hazardous air pollutants frequently associated with oil and natural gas production and processing activities. The final rule seeks to achieve a 95% reduction in VOCs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These rules will require a number of modifications to our operations, including the installation of new equipment to control emissions from our wells by January 1, 2015. The EPA received numerous requests for reconsideration of these rules from both industry and the environmental community, and court challenges to the rules were also filed. The EPA intends to issue revised rules in 2013 that are likely responsive to some of these requests. The final revised rules could require modifications to our operations or increase our capital and operating costs without being offset by increased product capture. At this point, we cannot predict the final regulatory requirements or the cost to comply with such requirements with any certainty. The U.S. Department of the Interior has also announced its intention to propose a new rule regulation hydraulic fracturing activities on federal lands, including requirements for disclosure, well bore integrity and handling of flowback water.</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there are certain governmental reviews either underway or being proposed that focus on environmental aspects of hydraulic fracturing practices. The federal government is currently undertaking several studies of hydraulic fracturing’s potential impacts, the results of which are expected between later in 2013 and 2014. These ongoing or proposed studies, depending on their degree of pursuit and whether any meaningful results are obtained, could spur initiatives to further regulate hydraulic fracturing under the SDWA or other regulatory authorities. The U.S. Department of Energy has conducted an investigation into practices the agency could recommend to better protect the environment from drilling using hydraulic-fracturing completion methods. Additionally, certain members of Congress have called upon the U.S. Government Accountability Office to investigate how hydraulic fracturing might adversely affect water resources, the SEC to investigate the natural-gas industry and any possible misleading of investors or the public regarding the economic feasibility of pursuing natural gas deposits in shale formations by means of hydraulic fracturing, and the U.S. Energy Information Administration to provide a better understanding of that agency’s estimates regarding natural gas reserves, including reserves from shale formations, as well as uncertainties associated with those estimates.</w:t>
      </w:r>
    </w:p>
    <w:p>
      <w:pPr>
        <w:spacing w:after="0" w:line="3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Several states, including Texas, have adopted, or are considering adopting, regulations that could restrict or prohibit hydraulic fracturing in certain circumstances and/or require the disclosure of the composition of hydraulic fracturing fluids. The Texas Legislature adopted new legislation requiring oil and gas operators to publicly disclose the chemicals used in the hydraulic fracturing process, effective as of September 1, 2011. The Texas Railroad Commission has adopted rules and regulations implementing this legislation that will apply to all wells for which the Railroad Commission issues an initial drilling permit on or after February 1, 2012. The new law requires that the well operator disclose the list of chemical ingredients subject to the requirements of the federal Occupational Safety and Health Act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has been increasing public controversy regarding hydraulic fracturing with regard to the use of fracturing fluids,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stringent construction specifications, increased monitoring, reporting and recordkeeping obligations, plugging and abandonment requirements and also to attendant permitting delays and potential increases in costs. Such legislative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or state legislation governing hydraulic fracturing.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3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the Federal Energy Regulatory Commission, or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Drilling and Production</w:t>
      </w:r>
      <w:r>
        <w:rPr>
          <w:rFonts w:ascii="Arial" w:cs="Arial" w:eastAsia="Arial" w:hAnsi="Arial"/>
          <w:sz w:val="18"/>
          <w:szCs w:val="18"/>
          <w:color w:val="auto"/>
        </w:rPr>
        <w:t>. Our operations are subject to various types of regulation at the federal, state and local level. These types of regulation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requiring permits for the drilling of wells, drilling bonds and reports concerning operations. The state, and some counties and municipalities, in which we operate also regulate one or more of the following:</w:t>
      </w:r>
    </w:p>
    <w:p>
      <w:pPr>
        <w:spacing w:after="0" w:line="7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Federal, state and local regulations provide detailed requirements for the abandonment of wells, closure or decommissioning of production facilities and pipelines and for site restoration in areas where we operate. The U.S. Army Corps of Engineers and many other state and local authorities also have regulations for plugging and abandonment, decommissioning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site restoration. Although the U.S. Army Corps of Engineers does not require bonds or other financial assurances, some state agencies and municipalities do have such requirements.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Natural Gas Sales and Transportation</w:t>
      </w:r>
      <w:r>
        <w:rPr>
          <w:rFonts w:ascii="Arial" w:cs="Arial" w:eastAsia="Arial" w:hAnsi="Arial"/>
          <w:sz w:val="17"/>
          <w:szCs w:val="17"/>
          <w:color w:val="auto"/>
        </w:rPr>
        <w:t>. Historically, federal legislation and regulatory controls have affected the price of the natural gas we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FERC’s current regulatory regime, transmission services must be provided on an open-access, non-discriminatory basis at cost-based rates or at market-based rates if the transportation market at issue is sufficiently competitive.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Oil Sales and Transportation</w:t>
      </w:r>
      <w:r>
        <w:rPr>
          <w:rFonts w:ascii="Arial" w:cs="Arial" w:eastAsia="Arial" w:hAnsi="Arial"/>
          <w:sz w:val="16"/>
          <w:szCs w:val="16"/>
          <w:color w:val="auto"/>
        </w:rPr>
        <w:t>. 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State Regulation</w:t>
      </w:r>
      <w:r>
        <w:rPr>
          <w:rFonts w:ascii="Arial" w:cs="Arial" w:eastAsia="Arial" w:hAnsi="Arial"/>
          <w:sz w:val="17"/>
          <w:szCs w:val="17"/>
          <w:color w:val="auto"/>
        </w:rPr>
        <w:t>. Texas regulates the drilling for, and the production, gathering and sale of, oil and natural gas, including imposing severance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oil business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 comprehensive general liability, commercial automobile, workers compensation, pollution liability (claims made coverage with a policy retroactive date), excess umbrella liability and other coverage.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affect on our financial position, results of operations and cash flows. See “</w:t>
      </w:r>
      <w:r>
        <w:rPr>
          <w:rFonts w:ascii="Arial" w:cs="Arial" w:eastAsia="Arial" w:hAnsi="Arial"/>
          <w:sz w:val="18"/>
          <w:szCs w:val="18"/>
          <w:i w:val="1"/>
          <w:iCs w:val="1"/>
          <w:color w:val="auto"/>
        </w:rPr>
        <w:t>Risk Factors–Risks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the Oil and Natural Gas Industry and Our Business–Operating hazards and uninsured risks may result in substantial losses and could prevent us from realizing profits</w:t>
      </w:r>
      <w:r>
        <w:rPr>
          <w:rFonts w:ascii="Arial" w:cs="Arial" w:eastAsia="Arial" w:hAnsi="Arial"/>
          <w:sz w:val="18"/>
          <w:szCs w:val="18"/>
          <w:color w:val="auto"/>
        </w:rPr>
        <w:t>” on page 26 of this prospectus.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2012, we had approximately 52 full time employees.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corporate headquarters is located in Midland, Texas. We also lease additional office space in Midland and in Oklahoma City, Oklahoma. We believe that our facilities are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the name, age, position and a brief account of the business experience of each of our executive officers and directors as of December 31, 2012.</w:t>
      </w:r>
    </w:p>
    <w:p>
      <w:pPr>
        <w:spacing w:after="0" w:line="200" w:lineRule="exact"/>
        <w:rPr>
          <w:sz w:val="20"/>
          <w:szCs w:val="20"/>
          <w:color w:val="auto"/>
        </w:rPr>
      </w:pP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88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Age</w:t>
            </w:r>
          </w:p>
        </w:tc>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108"/>
        </w:trPr>
        <w:tc>
          <w:tcPr>
            <w:tcW w:w="3700" w:type="dxa"/>
            <w:vAlign w:val="bottom"/>
            <w:tcBorders>
              <w:bottom w:val="single" w:sz="8" w:color="231F2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231F20"/>
            </w:tcBorders>
          </w:tcPr>
          <w:p>
            <w:pPr>
              <w:spacing w:after="0"/>
              <w:rPr>
                <w:sz w:val="9"/>
                <w:szCs w:val="9"/>
                <w:color w:val="auto"/>
              </w:rPr>
            </w:pPr>
          </w:p>
        </w:tc>
        <w:tc>
          <w:tcPr>
            <w:tcW w:w="180" w:type="dxa"/>
            <w:vAlign w:val="bottom"/>
          </w:tcPr>
          <w:p>
            <w:pPr>
              <w:spacing w:after="0"/>
              <w:rPr>
                <w:sz w:val="9"/>
                <w:szCs w:val="9"/>
                <w:color w:val="auto"/>
              </w:rPr>
            </w:pPr>
          </w:p>
        </w:tc>
        <w:tc>
          <w:tcPr>
            <w:tcW w:w="4200" w:type="dxa"/>
            <w:vAlign w:val="bottom"/>
            <w:tcBorders>
              <w:bottom w:val="single" w:sz="8" w:color="231F20"/>
            </w:tcBorders>
          </w:tcPr>
          <w:p>
            <w:pPr>
              <w:spacing w:after="0"/>
              <w:rPr>
                <w:sz w:val="9"/>
                <w:szCs w:val="9"/>
                <w:color w:val="auto"/>
              </w:rPr>
            </w:pPr>
          </w:p>
        </w:tc>
      </w:tr>
      <w:tr>
        <w:trPr>
          <w:trHeight w:val="237"/>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Travis D. Stice</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Chief Executive Officer, Director</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Teresa L. Dick</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Chief Financial Officer, Senior Vice President</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Russell Pantermuehl</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 Reservoir Engineering</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Paul Molnar</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57</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 Geoscience</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Michael Hollis</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37</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 Drilling</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William Franklin</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58</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 Land</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Jeff White</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 Operations</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Randall J. Holder</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Steven E. West</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52</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Michael P. Cross</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61</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David L. Houston</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24"/>
        </w:trPr>
        <w:tc>
          <w:tcPr>
            <w:tcW w:w="3880" w:type="dxa"/>
            <w:vAlign w:val="bottom"/>
            <w:gridSpan w:val="2"/>
          </w:tcPr>
          <w:p>
            <w:pPr>
              <w:ind w:left="60"/>
              <w:spacing w:after="0"/>
              <w:rPr>
                <w:sz w:val="20"/>
                <w:szCs w:val="20"/>
                <w:color w:val="auto"/>
              </w:rPr>
            </w:pPr>
            <w:r>
              <w:rPr>
                <w:rFonts w:ascii="Arial" w:cs="Arial" w:eastAsia="Arial" w:hAnsi="Arial"/>
                <w:sz w:val="18"/>
                <w:szCs w:val="18"/>
                <w:color w:val="auto"/>
              </w:rPr>
              <w:t>Mark L. Plaumann</w:t>
            </w:r>
          </w:p>
        </w:tc>
        <w:tc>
          <w:tcPr>
            <w:tcW w:w="520" w:type="dxa"/>
            <w:vAlign w:val="bottom"/>
          </w:tcPr>
          <w:p>
            <w:pPr>
              <w:jc w:val="center"/>
              <w:ind w:right="90"/>
              <w:spacing w:after="0"/>
              <w:rPr>
                <w:sz w:val="20"/>
                <w:szCs w:val="20"/>
                <w:color w:val="auto"/>
              </w:rPr>
            </w:pPr>
            <w:r>
              <w:rPr>
                <w:rFonts w:ascii="Arial" w:cs="Arial" w:eastAsia="Arial" w:hAnsi="Arial"/>
                <w:sz w:val="18"/>
                <w:szCs w:val="18"/>
                <w:color w:val="auto"/>
                <w:w w:val="89"/>
              </w:rPr>
              <w:t>57</w:t>
            </w:r>
          </w:p>
        </w:tc>
        <w:tc>
          <w:tcPr>
            <w:tcW w:w="18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Travis D. Stice—Chief Executive Officer—</w:t>
      </w:r>
      <w:r>
        <w:rPr>
          <w:rFonts w:ascii="Arial" w:cs="Arial" w:eastAsia="Arial" w:hAnsi="Arial"/>
          <w:sz w:val="17"/>
          <w:szCs w:val="17"/>
          <w:color w:val="auto"/>
        </w:rPr>
        <w:t>Mr. Stice has served as our Chief Executive Officer since January 2012 and as a director of our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since November 2012. Prior to his current position with us, he served as our President and Chief Operating Officer from April 2011 to January 2012. Mr. Stice has also served on the board of managers of MidMar Gas LLC, or MidMar, an entity that owns a gas gathering system and processing plant, since 2011 and as Vice President and Secretary of MidMar since April 2012. From November 2010 to April 2011, Mr. Stice served as a Production Manager of Apache Corporation, an oil and gas exploration company. Mr. Stice served as a Vice President of Laredo Petroleum Holdings, Inc, an oil and gas exploration company, from September 2008 to September 2010. From April 2006 until August 2008, Mr. Stice served as a Development Manager of ConocoPhillips/Burlington Resources Mid-Continent Business Unit, an oil and gas exploration company. Prior to that, Mr. Stice held a series of positions at Burlington Resources, an oil and gas exploration company, most recently as a General Manager, Engineering, Operations and Business Reporting of its Mid Continent Division from January 2001 until Burlington Resources’ acquisition by ConocoPhillips in March 2006. Mr. Stice has over 26 years of industry experience in production operations, reservoir engineering, production engineering and unconventional oil and gas exploration and over 18 years of management experience. Mr. Stice graduated from Texas A&amp;M University with a Bachelor of Science degree in Petroleum Engineering. Mr. Stice is a registered engineer in the State of Texas, and is a 25-year member of the Society of Petroleum Engineers.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Teresa L. Dick—Chief Financial Officer, Senior Vice President</w:t>
      </w:r>
      <w:r>
        <w:rPr>
          <w:rFonts w:ascii="Arial" w:cs="Arial" w:eastAsia="Arial" w:hAnsi="Arial"/>
          <w:sz w:val="16"/>
          <w:szCs w:val="16"/>
          <w:color w:val="auto"/>
        </w:rPr>
        <w:t>—Ms. Dick has served as our Chief Financial Officer and Senior Vice President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2009. Prior to her current position with us, Ms. Dick served as our Corporate Controller from November 2007 until November 2009. From June 2006 to November 2007, Ms. Dick held a key management position as the Controller/Tax Director at Hiland Partners, a publicly-traded midstream energy master limited partnership. Ms. Dick has over 19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Russell Pantermuehl—Vice President—Reservoir Engineering</w:t>
      </w:r>
      <w:r>
        <w:rPr>
          <w:rFonts w:ascii="Arial" w:cs="Arial" w:eastAsia="Arial" w:hAnsi="Arial"/>
          <w:sz w:val="17"/>
          <w:szCs w:val="17"/>
          <w:color w:val="auto"/>
        </w:rPr>
        <w:t>—Mr. Pantermuehl joined us in August 2011 as Vice President—Reservoir</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Prior to his current position with us, Mr. Pantermuehl served as a reservoir engineering supervisor for Concho Resources Inc., an oil and gas exploration company, from March 2010 to August 2011. Mr. Pantermuehl worked for ConocoPhillips Company as a reservoir engineering advisor from January 2005 to March 2010. Mr. Pantermuehl also worked as an independent consultant in the oil and gas industry from March 2000 to December 2004. Mr. Pantermuehl received a Bachelor of Science degree in Petroleum Engineering from Texas A&amp;M University.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Paul Molnar—Vice President—Geoscience</w:t>
      </w:r>
      <w:r>
        <w:rPr>
          <w:rFonts w:ascii="Arial" w:cs="Arial" w:eastAsia="Arial" w:hAnsi="Arial"/>
          <w:sz w:val="16"/>
          <w:szCs w:val="16"/>
          <w:color w:val="auto"/>
        </w:rPr>
        <w:t>—Mr. Molnar joined us in August 2011 as Vice President— Geoscience. Prior to his current position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us, Mr. Molnar served as a Senior District Geologist for Samson Investment Company, an oil and gas exploration company, from March 2011 to August 2011. Mr. Molnar worked as an asset supervisor and geosciences supervisor for ConocoPhillips Company from April 2006 to February 2011. Mr. Molnar also worked as a geologic advisor for Burlington Resources, an oil and gas exploration company, from December 1996 to March 2006. Mr. Molnar has over 31 years of industry experience. Mr. Molnar received a Master of Science degree in Geology from The State University of New York at Buffalo, New York.</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Michael Hollis—Vice President—Drilling</w:t>
      </w:r>
      <w:r>
        <w:rPr>
          <w:rFonts w:ascii="Arial" w:cs="Arial" w:eastAsia="Arial" w:hAnsi="Arial"/>
          <w:sz w:val="17"/>
          <w:szCs w:val="17"/>
          <w:color w:val="auto"/>
        </w:rPr>
        <w:t>—Mr. Hollis joined us in September 2011 as Vice President— Drilling. Prior to his current position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us, Mr. Hollis served in various roles, most recently as drilling manager at Chesapeake Energy Corporation, an oil and gas exploration company, from June 2006 to September 2011. Mr. Hollis worked for ConocoPhillips Company as a senior drilling engineer from January 2004 to June 2006 and as a process engineer from 2001 to 2003. Mr. Hollis also worked as a production engineer for Burlington Resources from 1998 to 2001 as well as from June 2003 to January 2004. Mr. Hollis received his Bachelor of Science degree in Chemical Engineering from Louisiana State University.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William Franklin—Vice President—Land</w:t>
      </w:r>
      <w:r>
        <w:rPr>
          <w:rFonts w:ascii="Arial" w:cs="Arial" w:eastAsia="Arial" w:hAnsi="Arial"/>
          <w:sz w:val="18"/>
          <w:szCs w:val="18"/>
          <w:color w:val="auto"/>
        </w:rPr>
        <w:t>—Mr. Franklin joined us in August 2011 as Vice President—Land. Prior to his current position with us, Mr.</w:t>
      </w:r>
      <w:r>
        <w:rPr>
          <w:rFonts w:ascii="Arial" w:cs="Arial" w:eastAsia="Arial" w:hAnsi="Arial"/>
          <w:sz w:val="18"/>
          <w:szCs w:val="18"/>
          <w:i w:val="1"/>
          <w:iCs w:val="1"/>
          <w:color w:val="auto"/>
        </w:rPr>
        <w:t xml:space="preserve"> </w:t>
      </w:r>
      <w:r>
        <w:rPr>
          <w:rFonts w:ascii="Arial" w:cs="Arial" w:eastAsia="Arial" w:hAnsi="Arial"/>
          <w:sz w:val="18"/>
          <w:szCs w:val="18"/>
          <w:color w:val="auto"/>
        </w:rPr>
        <w:t>Franklin worked for ConocoPhillips Company in various land management roles from May 1983 until July 2011. Mr. Franklin received a Bachelor of Arts degree in History from Oklahoma City University.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Jeff White—Vice President—Operations</w:t>
      </w:r>
      <w:r>
        <w:rPr>
          <w:rFonts w:ascii="Arial" w:cs="Arial" w:eastAsia="Arial" w:hAnsi="Arial"/>
          <w:sz w:val="18"/>
          <w:szCs w:val="18"/>
          <w:color w:val="auto"/>
        </w:rPr>
        <w:t>—Mr. White joined us in September 2011 as Vice President— Operations. Prior to his current position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us, Mr. White worked for Laredo Petroleum Holdings, Inc. as a completion manager from May 2010 to September 2011. Mr. White also worked as a staff engineer for ConocoPhillips from February 2007 to May 2009. In addition, he worked in various engineering and management positions with Anadarko Petroleum from June 1988 to June 2005. Mr. White received a Bachelor of Science degree in Petroleum Engineering from Texas Tech University. He also received a Bachelor of Science degree in Fishery Biology from New Mexico State University.</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Randall J. Holder—Vice President, General Counsel and Secretary</w:t>
      </w:r>
      <w:r>
        <w:rPr>
          <w:rFonts w:ascii="Arial" w:cs="Arial" w:eastAsia="Arial" w:hAnsi="Arial"/>
          <w:sz w:val="16"/>
          <w:szCs w:val="16"/>
          <w:color w:val="auto"/>
        </w:rPr>
        <w:t>—Mr. Holder joined us in November 2011 as General Counsel and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legal and human resources. Prior to his current position with us, Mr. Holder served as General Counsel and Vice President for Great White Energy Services LLC, an oilfield services company, from November 2008 to November 2011. Mr. Holder served as Executive Vice President and General Counsel for R.L. Hudson and Company, a supplier of molded rubber and plastic components, from February 2007 to October 2008. Mr. Holder was in private practice of law and a member of Holder Betz LLC from February 2005 to February 2007. Mr. Holder served as Vice President and Assistant General Counsel for Dollar Thrifty Automotive Group, a vehicle rental company, from January 2003 to February 2005 and, before that, as Vice President and General Counsel for Thrifty Rent-A-Car System, Inc., a vehicle rental company, from September 1996 to December 2002. He also served as Vice President and General Counsel for Pentastar Transportation Group, Inc. from November 1992 to September 1996, which was wholly-owned by Chrysler Corporation. Mr. Holder started his legal career with Tenneco Oil Company where he served as a Division Attorney providing legal services to the company’s mid-continent division for ten years. Mr. Holder received a Juris Doctorate degree from Oklahoma City University.</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Steven E. West—Director</w:t>
      </w:r>
      <w:r>
        <w:rPr>
          <w:rFonts w:ascii="Arial" w:cs="Arial" w:eastAsia="Arial" w:hAnsi="Arial"/>
          <w:sz w:val="18"/>
          <w:szCs w:val="18"/>
          <w:color w:val="auto"/>
        </w:rPr>
        <w:t>— Mr. West has served as a director of our company since December 2011 and Chairman of the Board since October 2012.</w:t>
      </w:r>
      <w:r>
        <w:rPr>
          <w:rFonts w:ascii="Arial" w:cs="Arial" w:eastAsia="Arial" w:hAnsi="Arial"/>
          <w:sz w:val="18"/>
          <w:szCs w:val="18"/>
          <w:i w:val="1"/>
          <w:iCs w:val="1"/>
          <w:color w:val="auto"/>
        </w:rPr>
        <w:t xml:space="preserve"> </w:t>
      </w:r>
      <w:r>
        <w:rPr>
          <w:rFonts w:ascii="Arial" w:cs="Arial" w:eastAsia="Arial" w:hAnsi="Arial"/>
          <w:sz w:val="18"/>
          <w:szCs w:val="18"/>
          <w:color w:val="auto"/>
        </w:rPr>
        <w:t>Mr. West served as our Chief Executive Officer from January 1, 2009 to December 31, 2011. Since January 2011, Mr. West has been a partner at Wexford Capital LP, focusing on Wexford’s private equity energy investments. From August 2006 until December 2010, Mr. West served as senior portfolio advisor at Wexford. From August 2003 until August 2006, Mr. West was the chief financial officer of Sunterra Corporation, a former Wexford portfolio company. From December 1993 until July 2003, Mr. West held senior financial positions at Coast Asset Management and IndyMac Bank. Prior to that, Mr. West worked at First Nationwide Bank, Lehman Brothers and Peat Marwick Mitchell &amp; Co., the predecessor of KPMG LLP. Mr. West holds a Bachelor of Science degree in Accounting from California State University, Chico. We believe Mr. West’s background in finance, accounting and private equity energy investments, as well as his executive management skills developed as part of his career with Wexford, its portfolio companies and other financial institutions qualify him to serve on our board of directors.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Michael P. Cross—Director</w:t>
      </w:r>
      <w:r>
        <w:rPr>
          <w:rFonts w:ascii="Arial" w:cs="Arial" w:eastAsia="Arial" w:hAnsi="Arial"/>
          <w:sz w:val="17"/>
          <w:szCs w:val="17"/>
          <w:color w:val="auto"/>
        </w:rPr>
        <w:t>— Mr. Cross has served as a director of our company since October 2012. Mr. Cross is President and owner of Michael</w:t>
      </w:r>
      <w:r>
        <w:rPr>
          <w:rFonts w:ascii="Arial" w:cs="Arial" w:eastAsia="Arial" w:hAnsi="Arial"/>
          <w:sz w:val="17"/>
          <w:szCs w:val="17"/>
          <w:i w:val="1"/>
          <w:iCs w:val="1"/>
          <w:color w:val="auto"/>
        </w:rPr>
        <w:t xml:space="preserve"> </w:t>
      </w:r>
      <w:r>
        <w:rPr>
          <w:rFonts w:ascii="Arial" w:cs="Arial" w:eastAsia="Arial" w:hAnsi="Arial"/>
          <w:sz w:val="17"/>
          <w:szCs w:val="17"/>
          <w:color w:val="auto"/>
        </w:rPr>
        <w:t>P. Cross, Inc., an independent oil and natural gas producer, a position he has held since July 1994. Mr. Cross also currently serves as a director of Warren Equipment Company, a position he has held since 2002. Mr. Cross has also served as a member of the Oklahoma Energy Resources Board since February 2005 and has been a member of the Executive Committee since 2007. Mr. Cross also served as a member of the Board of Directors of the Oklahoma Independent Petroleum Association for over 15 years. Mr. Cross served on the Board of Directors for OGE Energy GP LLC from October 2007 to October 2008. Mr. Cross also served as CEO and President of Windsor Energy Resources, Inc. from December 2005 until December 2006. Mr. Cross served as President and Manager of Twister Gas Services, L.L.C., an oil and gas exploration, production and marketing company, from its inception in 1996 until June 2003 and served as President of its predecessor, Twister Transmission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1990 to 1996. Mr. Cross graduated from Oklahoma State University in 1973 with a BS in Business Administration. We believe that Mr. Cross’s strong oil and gas background and executive management experience qualify him for service on our board of directors.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David L. Houston—Director</w:t>
      </w:r>
      <w:r>
        <w:rPr>
          <w:rFonts w:ascii="Arial" w:cs="Arial" w:eastAsia="Arial" w:hAnsi="Arial"/>
          <w:sz w:val="16"/>
          <w:szCs w:val="16"/>
          <w:color w:val="auto"/>
        </w:rPr>
        <w:t>— Mr. Houston has served as a director of our company since October 2012. Since 1991, Mr. Houston has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of Houston &amp; Associates, a firm that offers life and disability insurance, compensation and benefits plans and estate planning. Prior to 1991, Mr. Houston was President and Chief Executive Officer of Equity Bank for Savings, F.A., an Oklahoma-based savings bank, and is the former chair of the Oklahoma State Ethics Commission and the Oklahoma League of Savings Institutions. In May 1992, in settlement of administrative litigation (and without any finding or admission of guilt) brought by the U.S. Office of Thrift Supervision against him in his capacity as an executive officer of a thrift institution, Mr. Houston entered into a consent order under which he agreed not to serve as an officer of, or participate in the affairs of, insured depository institutions. The order relates to alleged violations of certain lending practices in early 1990 or before. Mr. Houston served on the board of directors and executive committee of Deaconess Hospital, Oklahoma City, Oklahoma, from January 1993 until December 2008 and is the former chair of the Oklahoma State Ethics Commission and the Oklahoma League of Savings Institutions. Mr. Houston has served as a director of Gulfport since July 1998 and is the chairman of its audit committee. He also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We believe that Mr. Houston’s financial background and his executive management experience qualify him for service on our board of directors.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Mark L. Plaumann—Director</w:t>
      </w:r>
      <w:r>
        <w:rPr>
          <w:rFonts w:ascii="Arial" w:cs="Arial" w:eastAsia="Arial" w:hAnsi="Arial"/>
          <w:sz w:val="17"/>
          <w:szCs w:val="17"/>
          <w:color w:val="auto"/>
        </w:rPr>
        <w:t>— Mr. Plaumann has served as a director of our company since October 2012. He is currently a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Greyhawke Capital Advisors LLC, or Greyhawke, which he co-founded in 1998. Prior to founding Greyhawke, Mr. Plaumann was a Senior Vice President of Wexford Capital LP. Mr. Plaumann was formerly a Managing Director of Alvarez &amp; Marsal, Inc. and the President of American Healthcare Management, Inc. He also was Senior Manager at Ernst &amp; Young LLP. Mr. Plaumann served as a director and audit committee chairman for ICx Technologies, Inc. until October 2010 and currently serves as a director and audit committee chairman of Republic Airways Holdings, Inc., and a director of one private company. Mr. Plaumann also has served as a director, an audit committee chairman and a member of the conflicts committee of the general partner of Rhino Resource Partners LP, a coal operating company, since October 2010. Mr. Plaumann holds an M.B.A. and a B.A. in Business from the University of Central Florida. We believe that Mr. Plaumann’s service on the boards of other public companies and his executive management experience, including previous experience as chairman of audit committees, qualifies him for service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adopted a policy regarding related party transactions. Under the policy, the audit committee reviews and approves all relationships and transaction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4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transaction involving compensation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transaction involving compensation of an executive officer or involving an employment agreement, severance arrangement, change in control provision or agreement or special supplemental benefit of an executive officer;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transaction with a related party involving less than $120,000;</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party arises solely from the ownership of a class of our equity securities and all holders of that class receive the same benefit on a pro rata basis;</w:t>
      </w:r>
    </w:p>
    <w:p>
      <w:pPr>
        <w:spacing w:after="0" w:line="6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party arises solely from indebtedness of a 5% shareholder or an “immediate family member” of a 5% shareholder.</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policy supplements the conflict of interest provisions in our Code of Business Conduct and Ethics.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implementation of this policy and the adoption of our Code of Business Conduct and Ethics, the review and approval of related party transactions was the responsibility of our management, and all of the transactions discussed under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below have been approved by our management, subject to a conflicts of interest policy set forth in our employee handbook, pursuant to which all of our employees must avoid any situations where their personal outside interest could conflict, or even appear to conflict, with the interests of the Company. Although our management believes that the terms of the related party transactions described below are reasonable, it is possible that we could have negotiated more favorable terms for such transactions with unrelated third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Gulfport Transaction and Investor Rights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7, 2012, we entered into an agreement with Gulfport Energy Corporation, or Gulfport, in which we agreed to acquire from Gulfport, prior to the effectiveness of the registration statement relating to our initial public offering, all of Gulfport’s oil and natural gas properties in the Permian Basin in exchange for (i) shares of our common stock representing 35% of our common stock outstanding immediately prior to the closing of our initial public offering and (ii) approximately $63.6 million in the form of a non-interest bearing promissory note that was repaid in full upon the closing of our initial public offering. The Gulfport transaction was completed on October 11, 2012. The aggregate consideration payable to Gulfport was subject to a post-closing cash adjustment calculated to be approximately $18.6 million and paid to Gulfport in January 2013. Under the agreement, Gulfport is generally responsible for all liabilities and obligations with respect to its Permian Basin properties arising prior to the closing of the transaction and we are responsible for such liabilities and obligations arising after the closing of the transaction. At the closing of the Gulfport transaction, we entered into an investor rights agreement with Gulfport in which Gulfport was granted certain (i) demand and “piggyback” registration rights, (ii) director nomination rights and (iii) information rights. Mr. David Houston, one of our directors, was designated by Gulfport in accordance with its director nomination rights. Mike Liddell, who served as the Operating Member and Chairman of our subsidiary Diamondback O&amp;G LLC (formerly known as Windsor Permian LLC) prior to the completion of our initial public offering, is the Chairman of the Board and a director of Gulfport and has a 10% interest in DB Holdings. Charles E. Davidson, the Chairman and Chief Investment Officer of Wexford, beneficially owned approximately 13.3% of Gulfport’s outstanding common stock as of December 5, 2011 and approximately 9.5% as of March 13, 2012, which interest was reduced to less than 1% as of September 28,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 shared services agreement, dated March 1, 2008, with Everest Operations Management LLC (formerly, Windsor Energy Resources LLC), or Everest, an entity controlled by Wexford, our equity sponsor. Under this agreement, Everest provided us with administrative and payroll services and office space in Oklahoma City, Oklahoma and we reimbursed Everest in an amount determined by Everest’s management based on estimates of the amount of office space provided and the amount of its employees’ time spent performing services for us. The reimbursement amounts were determined based upon underlying salary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of employees performing Company related functions, payroll, revenue or headcount relative to other companies managed by Everest, or specifically identified invoices processed, depending on the nature of the cost. The initial term of the shared services agreement with Everest was two years. Since the expiration of such two-year period on March 1, 2010, the agreement, by its terms, continued on a month-to-month basis until we discontinued all services under this shared services agreement prior to the closing of our initial public offering. For the years ended December 31, 2012, 2011 and 2010, we incurred total costs to Everest of approximately $4.4 million, $10.0 million and $8.0 million, respectively, and at December 31, 2012, 2011 and 2010, we owed $0.0 million, $0.8 million and $0.4 million, respectively, to Everest under this shared services agreement.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Effective January 1, 2012, we entered into a shared services agreement with Everest under which we provide Everest and, at its request, certain of its affiliates with consulting, technical and administrative services, including payroll, human resources administration, accounts payable and treasury services. The initial term of this shared services agreement is two years. Upon expiration of the initial term, the agreement will continue on a month-to-month basis until cancelled by either party upon thirty days’ prior written notice. Everest, or its affiliates, reimburse us for our dedicated employee time and administrative costs based on the pro rata share of time our employees spend performing these services, including pro rata benefits and bonuses of such employees. For the year ended December 31, 2012, Everest and its affiliates reimbursed us $2.1 million for services and overhead under this shared services agreement and, at December 31, 2012, Everest and its affiliates owed us $0.0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Diamondback O&amp;G LLC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completion of our initial public offering, we acquired all the equity interests in Diamondback O&amp;G LLC (formerly known as Windsor Permian LLC) and Windsor UT from Wexford in exchange for 14,697,496 shares of our common stock. For additional information regarding these transactions, see “</w:t>
      </w:r>
      <w:r>
        <w:rPr>
          <w:rFonts w:ascii="Arial" w:cs="Arial" w:eastAsia="Arial" w:hAnsi="Arial"/>
          <w:sz w:val="18"/>
          <w:szCs w:val="18"/>
          <w:i w:val="1"/>
          <w:iCs w:val="1"/>
          <w:color w:val="auto"/>
        </w:rPr>
        <w:t>Prospectus Summary—Our History</w:t>
      </w:r>
      <w:r>
        <w:rPr>
          <w:rFonts w:ascii="Arial" w:cs="Arial" w:eastAsia="Arial" w:hAnsi="Arial"/>
          <w:sz w:val="18"/>
          <w:szCs w:val="18"/>
          <w:color w:val="auto"/>
        </w:rPr>
        <w:t>” on page 6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Note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May 14, 2012, we issued a subordinated note to an affiliate of Wexford pursuant to which, as amended, the Wexford affiliate could, from time to time, advance up to an aggregate of $45.0 million. These advances were solely at the lender’s discretion and neither Wexford nor any of its affiliates had any commitment or obligation to provide future capital support to us. The note bore interest at a rate equal to LIBOR plus 0.28% or 8% per annum, whichever was lower. Interest was due quarterly in arrears beginning on July 1, 2012. Interest payments were payable in kind by adding such amounts to the principal balance of this note. The unpaid principal balance and all accrued interest on the note were due and payable in full on January 31, 2015 or the earlier completion of our initial public offering. Any indebtedness evidenced by this note was subordinate in the right of payment to any indebtedness outstanding under our revolving credit facility. On September 30, 2012, there was $30.0 million in aggregate principal amount outstanding under this note. We repaid the outstanding borrowings under this note with a portion of the net proceeds of our initial public offering and the note was terminated.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Services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Bison Drilling and Field Services LLC, or Bison, has performed drilling and field services for us under master drilling agreements and master field services agreements. These agreements are terminable by either party on 30 days’ prior written notice, although neither party will be relieved of its respective obligations arising from a drilling contract being performed prior to such termination. Bison was a wholly-owned subsidiary of Diamondback O&amp;G LLC until March 31, 2011, when various entities controlled by Wexford started contributing capital to Bison. These contributions aggregated $11.5 million and ultimately diluted Diamondback O&amp;G LLC’s ownership interest to 52.2%. In September 2011, Diamondback O&amp;G LLC sold a 25% interest in Bison to Gulfport for $6.0 million, subject to adjustment. At the time of the transaction, an affiliate of Wexford beneficially owned approximately 13.3% of Gulfport’s common stock, but that ownership is now less than 1%. In April 2012, Gulfport increased its ownership interest in Bison to 40%. As a result of these transactions, Diamondback O&amp;G LLC’s ownership interest in Bison was reduced to 22%, with the remaining equity interests in Bison held by Gulfport and various entities controlled by Wexford. In June 2012, Diamondback O&amp;G LLC distributed its remaining interest in Bison to its member, which is an entity controlled by Wexford. For the years ended December 31, 2012 and 2011, we were billed $16.0 million and $7.5 million, respectively, by Bison for drilling services. We owed $0.1 million and $0.1 million to Bison as of December 31, 2012 and 2011,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Midland Lease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occupy our corporate headquarters in Midland, Texas under a five-year lease, effective May 15, 2011, with Fasken Midland, LLC, or Fasken, an entity controlled by an affiliate of Wexford. During the years ended December 31, 2012 and 2011, we paid $155,000 and $40,000, respectively, to Fasken under this lease. The current monthly rent under the lease is $11,284 and will increase approximately 4% annually on June 1 of each year during the remainder of the lease term except on May 1,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June 1, 2013, our monthly rent under the lease will increase by approximately 9% and 3%, respectively. We are currently in discussions with Fasken to lease, beginning this fall, approximately 4,000 additional square feet of office space at our corporate headquarters for an initial base rent of approximately $8,000 per month.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Oklahoma City Lease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occupy office space in Oklahoma City, Oklahoma under a sixty-seven month lease agreement, effective January 1, 2012, with Caliber Investment Group, LLC, or Caliber, an entity controlled by an affiliate of Wexford. During the year ended December 31, 2012, we paid $329,000 to Caliber under this lease. Our monthly base rent will be $16,687 for the remainder of the lease term. We are also responsible for paying a portion of specified costs, fees and expenses associated with the operation of the premises. We are currently negotiating an amendment to this agreement with Caliber to lease additional square footage, which we anticipate would increase our monthly base rent by approximately $2,500.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Area of Mutual Interest and Related Agreements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as of November 1, 2007, we and Gulfport entered into an area of mutual interest agreement to jointly acquire oil and gas leases in the Permian Basin. The agreement provides that each party must offer the other party the right to participate in 50% of each such acquisition. We and Gulfport also agreed, subject to certain exceptions, to share third-party costs and expenses in proportion to our and its respective participating interests and pay certain other fees as provided in the agreement. The agreement was terminated upon Gulfport’s contribution to us of its oil and gas properties located in the Permian Basin.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the area of mutual interest agreement, we, Gulfport and Windsor Energy Group, L.L.C., or Energy Group, an entity controlled by Wexford, as the operator, entered into a joint development agreement, effective as of November 1, 2007, pursuant to which we and Gulfport agreed to develop certain jointly-held oil and gas leases in the Permian Basin and Energy Group agreed to act as the operator under the terms of a joint operating agreement, effective as of November 1, 2007. In the event either we or Gulfport had a majority interest in a prospect (as defined in the development agreement), the majority party could designate the operator of its choice. We and Gulfport agreed to designate Energy Group as the operator with respect to the contract area as provided in the joint operating agreement. As operator of these properties, Energy Group was responsible for the daily operations, monthly operation billings and monthly revenue disbursements for the properties in which we held an interest. Effective February 26, 2010, the agreement with Energy Group was terminated and we became the operator of these properties. For the year ended December 31, 2010, Energy Group billed us approximately $4.4 million and at December 31, 2010 we owed Energy Group approximately $0.7 million for these services. Upon becoming operator effective February 26, 2010, we began providing joint interest billing services. For the years ended December 31, 2012, 2011 and 2010, we billed Gulfport $46.4 million, $56.7 million and $32.4 million, respectively, and we billed an entity controlled by Wexford $2.0 million, $5.3 million and $8.8 million, respectively, for such services. At December 31, 2012, 2011 and 2010, Gulfport owed us $0.7 million, $8.6 million and $5.6 million, respectively, and the Wexford controlled entity owed us zero, $0.4 million and zero, respectively. Our joint development agreement with Gulfport was terminated in October 2012 upon Gulfport’s contribution to us of its oil and gas properties located in the Permian Basin.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Muskie Holdings LLC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2011, Diamondback O&amp;G LLC purchased certain assets, real estate and rights in a lease covering land in Wisconsin that is prospective for mining oil and natural gas fracture grade sand for $4.2 million from an unrelated third party. On October 7, 2011, Diamondback O&amp;G LLC contributed these assets, real estate and lease rights to a newly-formed entity, Muskie Holdings LLC, or Muskie, in exchange for a 48.6% equity interest. The remaining equity interests in Muskie were held 25% by Gulfport and 26.4% by entities controlled by Wexford. Through additional contributions from the Wexford controlled entities to Muskie, Diamondback O&amp;G LLC’s equity interest decreased to approximately 33%. In June 2012, Diamondback O&amp;G LLC distributed its remaining interest in Muskie to its member, which is an entity controlled by Wexford.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MidMar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party to a gas purchase agreement, dated May 1, 2009, as amended, with MidMar Gas LLC, or MidMar, an entity that owns a gas gathering system and processing plant in the Permian Basin. Under this agreement, MidMar is obligated to purchase from us, and we are obligated to sell to MidMar, all of the gas conforming to certain quality specifications produced from certain of our Permian Basin acreage. Following the expiration of the initial ten-year term, the agreement will continue on a year-to-year basis until terminated by either party on 30 days’ written notice. Under the gas purchase agreement, MidMar is obligated to pay us 87% of the net revenue received by MidMar for all components of our dedicated gas, including liquid hydrocarbons, and the sale of residue gas, in each case extracted, recovered or otherwise processed at MidMar’s gas processing plant, and 94.56% of the net revenue received by MidMar from the sale of such gas components and residue gas, extracted, recovered or otherwise processed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Chevron Headlee plant. Travis D. Stice, our Chief Executive Officer, has served as a manager on MidMar’s board of managers since April 2011 and as Vice President and Secretary of MidMar since April 2012. An entity controlled by Wexford in which Gulfport and certain entities controlled by Wexford are members owns approximately a 28% equity interest in MidMar. The remaining equity interests in MidMar are owned by nonaffiliated third parties. For the years ended December 31, 2012, 2011 and 2010, MidMar paid us $3.0 million, $3.1 million and $1.1 million, respectively, and at December 31, 2012, 2011 and 2010, MidMar owed us zero, $0.4 million and $0.1 million, respectively, for our portion of the net proceeds from the sale of such gas products and residue gas by MidMar.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period January 1, 2012 through October 11, 2012, Wexford provided certain professional services to us, for which we were billed approximately $0.2 million. On October 11, 2012, we entered into an advisory services agreement with Wexford under which Wexford agreed to provide us with general financial and strategic advisory services related to our business in return for an annual fee of $500,000, plus reasonable out-of-pocket expenses. This agreement has a term of two years and will continue for additional one-year periods unless terminated in writing by either party at least ten days prior to the expiration of the then current term. The agreement may be terminated at any time by either party upon 30 days’ prior written notice. In the event we terminate the agreement, we are obligated to pay all amounts due through the remaining term of the agreement. In addition, under the terms of the agreement we have agreed to pay Wexford to-be-negotiated market-based fees approved by our independent directors for such services as may be provided by Wexford at our request in connection with future acquisitions and divestitures, financings or other transactions. The services provided by Wexford under the advisory services agreement will not extend to our day-to-day business or operations. In this agreement, we have agreed to indemnify Wexford and its affiliates from any and all losses arising out of or in connection with the agreement except for losses resulting from Wexford’s or its affiliates’ gross negligence or willful misconduct.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entered into a registration rights agreement with DB Holdings and an investor rights agreement with Gulfport. Under these agreements, each of DB Holdings and Gulfport has certain demand and “piggyback” registration rights. For more information regarding these agreements, see “</w:t>
      </w:r>
      <w:r>
        <w:rPr>
          <w:rFonts w:ascii="Arial" w:cs="Arial" w:eastAsia="Arial" w:hAnsi="Arial"/>
          <w:sz w:val="16"/>
          <w:szCs w:val="16"/>
          <w:i w:val="1"/>
          <w:iCs w:val="1"/>
          <w:color w:val="auto"/>
        </w:rPr>
        <w:t>—Gulfport</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 and Investor Rights Agreement</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Sale—Registration Rights</w:t>
      </w:r>
      <w:r>
        <w:rPr>
          <w:rFonts w:ascii="Arial" w:cs="Arial" w:eastAsia="Arial" w:hAnsi="Arial"/>
          <w:sz w:val="16"/>
          <w:szCs w:val="16"/>
          <w:color w:val="auto"/>
        </w:rPr>
        <w:t>” on pages 69 and 80, respectively, of this prospectus.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by:</w:t>
      </w:r>
    </w:p>
    <w:p>
      <w:pPr>
        <w:spacing w:after="0" w:line="11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of the outstanding shares of our common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indicated, we believe that each of the stockholders named in this table has sole voting and investment power with respect to the shares indicated as beneficially owned.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Shares Beneficially</w:t>
            </w:r>
          </w:p>
        </w:tc>
      </w:tr>
      <w:tr>
        <w:trPr>
          <w:trHeight w:val="135"/>
        </w:trPr>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Owned After Offering</w:t>
            </w:r>
          </w:p>
        </w:tc>
      </w:tr>
      <w:tr>
        <w:trPr>
          <w:trHeight w:val="135"/>
        </w:trPr>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780" w:type="dxa"/>
            <w:vAlign w:val="bottom"/>
            <w:gridSpan w:val="3"/>
          </w:tcPr>
          <w:p>
            <w:pPr>
              <w:jc w:val="center"/>
              <w:ind w:left="683"/>
              <w:spacing w:after="0" w:line="135" w:lineRule="exact"/>
              <w:rPr>
                <w:sz w:val="20"/>
                <w:szCs w:val="20"/>
                <w:color w:val="auto"/>
              </w:rPr>
            </w:pPr>
            <w:r>
              <w:rPr>
                <w:rFonts w:ascii="Arial" w:cs="Arial" w:eastAsia="Arial" w:hAnsi="Arial"/>
                <w:sz w:val="13"/>
                <w:szCs w:val="13"/>
                <w:b w:val="1"/>
                <w:bCs w:val="1"/>
                <w:color w:val="auto"/>
                <w:w w:val="85"/>
              </w:rPr>
              <w:t>Shares Beneficially</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if Option to Purchase</w:t>
            </w:r>
          </w:p>
        </w:tc>
      </w:tr>
      <w:tr>
        <w:trPr>
          <w:trHeight w:val="135"/>
        </w:trPr>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780" w:type="dxa"/>
            <w:vAlign w:val="bottom"/>
            <w:gridSpan w:val="3"/>
          </w:tcPr>
          <w:p>
            <w:pPr>
              <w:jc w:val="center"/>
              <w:ind w:left="663"/>
              <w:spacing w:after="0" w:line="135" w:lineRule="exact"/>
              <w:rPr>
                <w:sz w:val="20"/>
                <w:szCs w:val="20"/>
                <w:color w:val="auto"/>
              </w:rPr>
            </w:pPr>
            <w:r>
              <w:rPr>
                <w:rFonts w:ascii="Arial" w:cs="Arial" w:eastAsia="Arial" w:hAnsi="Arial"/>
                <w:sz w:val="13"/>
                <w:szCs w:val="13"/>
                <w:b w:val="1"/>
                <w:bCs w:val="1"/>
                <w:color w:val="auto"/>
                <w:w w:val="90"/>
              </w:rPr>
              <w:t>Owned Prior to</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60" w:type="dxa"/>
            <w:vAlign w:val="bottom"/>
            <w:gridSpan w:val="3"/>
          </w:tcPr>
          <w:p>
            <w:pPr>
              <w:jc w:val="right"/>
              <w:ind w:right="1000"/>
              <w:spacing w:after="0" w:line="135" w:lineRule="exact"/>
              <w:rPr>
                <w:sz w:val="20"/>
                <w:szCs w:val="20"/>
                <w:color w:val="auto"/>
              </w:rPr>
            </w:pPr>
            <w:r>
              <w:rPr>
                <w:rFonts w:ascii="Arial" w:cs="Arial" w:eastAsia="Arial" w:hAnsi="Arial"/>
                <w:sz w:val="13"/>
                <w:szCs w:val="13"/>
                <w:b w:val="1"/>
                <w:bCs w:val="1"/>
                <w:color w:val="auto"/>
              </w:rPr>
              <w:t>Shares Beneficially</w:t>
            </w:r>
          </w:p>
        </w:tc>
        <w:tc>
          <w:tcPr>
            <w:tcW w:w="2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Additional Shares Is</w:t>
            </w:r>
          </w:p>
        </w:tc>
      </w:tr>
      <w:tr>
        <w:trPr>
          <w:trHeight w:val="174"/>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703"/>
              <w:spacing w:after="0"/>
              <w:rPr>
                <w:sz w:val="20"/>
                <w:szCs w:val="20"/>
                <w:color w:val="auto"/>
              </w:rPr>
            </w:pPr>
            <w:r>
              <w:rPr>
                <w:rFonts w:ascii="Arial" w:cs="Arial" w:eastAsia="Arial" w:hAnsi="Arial"/>
                <w:sz w:val="13"/>
                <w:szCs w:val="13"/>
                <w:b w:val="1"/>
                <w:bCs w:val="1"/>
                <w:color w:val="auto"/>
                <w:w w:val="92"/>
              </w:rPr>
              <w:t>Offering</w:t>
            </w:r>
            <w:r>
              <w:rPr>
                <w:rFonts w:ascii="Arial" w:cs="Arial" w:eastAsia="Arial" w:hAnsi="Arial"/>
                <w:sz w:val="8"/>
                <w:szCs w:val="8"/>
                <w:b w:val="1"/>
                <w:bCs w:val="1"/>
                <w:color w:val="auto"/>
                <w:w w:val="92"/>
              </w:rPr>
              <w:t>(1)</w:t>
            </w:r>
          </w:p>
        </w:tc>
        <w:tc>
          <w:tcPr>
            <w:tcW w:w="7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3"/>
                <w:szCs w:val="13"/>
                <w:b w:val="1"/>
                <w:bCs w:val="1"/>
                <w:color w:val="auto"/>
              </w:rPr>
              <w:t>Owned After Offering</w:t>
            </w:r>
            <w:r>
              <w:rPr>
                <w:rFonts w:ascii="Arial" w:cs="Arial" w:eastAsia="Arial" w:hAnsi="Arial"/>
                <w:sz w:val="8"/>
                <w:szCs w:val="8"/>
                <w:b w:val="1"/>
                <w:bCs w:val="1"/>
                <w:color w:val="auto"/>
              </w:rPr>
              <w:t>(1)</w:t>
            </w:r>
          </w:p>
        </w:tc>
        <w:tc>
          <w:tcPr>
            <w:tcW w:w="1780" w:type="dxa"/>
            <w:vAlign w:val="bottom"/>
            <w:tcBorders>
              <w:bottom w:val="single" w:sz="8" w:color="auto"/>
            </w:tcBorders>
          </w:tcPr>
          <w:p>
            <w:pPr>
              <w:jc w:val="center"/>
              <w:ind w:left="764"/>
              <w:spacing w:after="0"/>
              <w:rPr>
                <w:sz w:val="20"/>
                <w:szCs w:val="20"/>
                <w:color w:val="auto"/>
              </w:rPr>
            </w:pPr>
            <w:r>
              <w:rPr>
                <w:rFonts w:ascii="Arial" w:cs="Arial" w:eastAsia="Arial" w:hAnsi="Arial"/>
                <w:sz w:val="13"/>
                <w:szCs w:val="13"/>
                <w:b w:val="1"/>
                <w:bCs w:val="1"/>
                <w:color w:val="auto"/>
                <w:w w:val="87"/>
              </w:rPr>
              <w:t>Exercised in Full</w:t>
            </w:r>
          </w:p>
        </w:tc>
        <w:tc>
          <w:tcPr>
            <w:tcW w:w="760" w:type="dxa"/>
            <w:vAlign w:val="bottom"/>
            <w:tcBorders>
              <w:bottom w:val="single" w:sz="8" w:color="auto"/>
            </w:tcBorders>
          </w:tcPr>
          <w:p>
            <w:pPr>
              <w:spacing w:after="0"/>
              <w:rPr>
                <w:sz w:val="15"/>
                <w:szCs w:val="15"/>
                <w:color w:val="auto"/>
              </w:rPr>
            </w:pPr>
          </w:p>
        </w:tc>
      </w:tr>
      <w:tr>
        <w:trPr>
          <w:trHeight w:val="230"/>
        </w:trPr>
        <w:tc>
          <w:tcPr>
            <w:tcW w:w="31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780" w:type="dxa"/>
            <w:vAlign w:val="bottom"/>
            <w:gridSpan w:val="3"/>
          </w:tcPr>
          <w:p>
            <w:pPr>
              <w:ind w:left="360"/>
              <w:spacing w:after="0"/>
              <w:rPr>
                <w:sz w:val="20"/>
                <w:szCs w:val="20"/>
                <w:color w:val="auto"/>
              </w:rPr>
            </w:pPr>
            <w:r>
              <w:rPr>
                <w:rFonts w:ascii="Arial" w:cs="Arial" w:eastAsia="Arial" w:hAnsi="Arial"/>
                <w:sz w:val="13"/>
                <w:szCs w:val="13"/>
                <w:b w:val="1"/>
                <w:bCs w:val="1"/>
                <w:color w:val="auto"/>
              </w:rPr>
              <w:t>Number</w:t>
            </w: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Percentage</w:t>
            </w:r>
          </w:p>
        </w:tc>
        <w:tc>
          <w:tcPr>
            <w:tcW w:w="1460" w:type="dxa"/>
            <w:vAlign w:val="bottom"/>
            <w:gridSpan w:val="2"/>
          </w:tcPr>
          <w:p>
            <w:pPr>
              <w:ind w:left="340"/>
              <w:spacing w:after="0"/>
              <w:rPr>
                <w:sz w:val="20"/>
                <w:szCs w:val="20"/>
                <w:color w:val="auto"/>
              </w:rPr>
            </w:pPr>
            <w:r>
              <w:rPr>
                <w:rFonts w:ascii="Arial" w:cs="Arial" w:eastAsia="Arial" w:hAnsi="Arial"/>
                <w:sz w:val="13"/>
                <w:szCs w:val="13"/>
                <w:b w:val="1"/>
                <w:bCs w:val="1"/>
                <w:color w:val="auto"/>
              </w:rPr>
              <w:t>Number</w:t>
            </w:r>
          </w:p>
        </w:tc>
        <w:tc>
          <w:tcPr>
            <w:tcW w:w="1300" w:type="dxa"/>
            <w:vAlign w:val="bottom"/>
          </w:tcPr>
          <w:p>
            <w:pPr>
              <w:jc w:val="right"/>
              <w:ind w:right="460"/>
              <w:spacing w:after="0"/>
              <w:rPr>
                <w:sz w:val="20"/>
                <w:szCs w:val="20"/>
                <w:color w:val="auto"/>
              </w:rPr>
            </w:pPr>
            <w:r>
              <w:rPr>
                <w:rFonts w:ascii="Arial" w:cs="Arial" w:eastAsia="Arial" w:hAnsi="Arial"/>
                <w:sz w:val="13"/>
                <w:szCs w:val="13"/>
                <w:b w:val="1"/>
                <w:bCs w:val="1"/>
                <w:color w:val="auto"/>
              </w:rPr>
              <w:t>Percentage</w:t>
            </w:r>
          </w:p>
        </w:tc>
        <w:tc>
          <w:tcPr>
            <w:tcW w:w="1780" w:type="dxa"/>
            <w:vAlign w:val="bottom"/>
          </w:tcPr>
          <w:p>
            <w:pPr>
              <w:jc w:val="right"/>
              <w:ind w:right="864"/>
              <w:spacing w:after="0"/>
              <w:rPr>
                <w:sz w:val="20"/>
                <w:szCs w:val="20"/>
                <w:color w:val="auto"/>
              </w:rPr>
            </w:pPr>
            <w:r>
              <w:rPr>
                <w:rFonts w:ascii="Arial" w:cs="Arial" w:eastAsia="Arial" w:hAnsi="Arial"/>
                <w:sz w:val="13"/>
                <w:szCs w:val="13"/>
                <w:b w:val="1"/>
                <w:bCs w:val="1"/>
                <w:color w:val="auto"/>
              </w:rPr>
              <w:t>Number</w:t>
            </w:r>
          </w:p>
        </w:tc>
        <w:tc>
          <w:tcPr>
            <w:tcW w:w="760" w:type="dxa"/>
            <w:vAlign w:val="bottom"/>
          </w:tcPr>
          <w:p>
            <w:pPr>
              <w:jc w:val="right"/>
              <w:ind w:right="80"/>
              <w:spacing w:after="0"/>
              <w:rPr>
                <w:sz w:val="20"/>
                <w:szCs w:val="20"/>
                <w:color w:val="auto"/>
              </w:rPr>
            </w:pPr>
            <w:r>
              <w:rPr>
                <w:rFonts w:ascii="Arial" w:cs="Arial" w:eastAsia="Arial" w:hAnsi="Arial"/>
                <w:sz w:val="13"/>
                <w:szCs w:val="13"/>
                <w:b w:val="1"/>
                <w:bCs w:val="1"/>
                <w:color w:val="auto"/>
                <w:w w:val="82"/>
              </w:rPr>
              <w:t>Percentage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5% Stockholders</w:t>
            </w: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DB Energy Holdings LLC</w:t>
            </w:r>
            <w:r>
              <w:rPr>
                <w:rFonts w:ascii="Arial" w:cs="Arial" w:eastAsia="Arial" w:hAnsi="Arial"/>
                <w:sz w:val="21"/>
                <w:szCs w:val="21"/>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16,414,622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16,414,622</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16,414,622</w:t>
            </w:r>
          </w:p>
        </w:tc>
        <w:tc>
          <w:tcPr>
            <w:tcW w:w="760" w:type="dxa"/>
            <w:vAlign w:val="bottom"/>
          </w:tcPr>
          <w:p>
            <w:pPr>
              <w:spacing w:after="0"/>
              <w:rPr>
                <w:sz w:val="23"/>
                <w:szCs w:val="23"/>
                <w:color w:val="auto"/>
              </w:rPr>
            </w:pPr>
          </w:p>
        </w:tc>
      </w:tr>
      <w:tr>
        <w:trPr>
          <w:trHeight w:val="270"/>
        </w:trPr>
        <w:tc>
          <w:tcPr>
            <w:tcW w:w="31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6"/>
                <w:szCs w:val="16"/>
                <w:color w:val="auto"/>
              </w:rPr>
              <w:t>Gulfport Energy Corporation</w:t>
            </w:r>
            <w:r>
              <w:rPr>
                <w:rFonts w:ascii="Arial" w:cs="Arial" w:eastAsia="Arial" w:hAnsi="Arial"/>
                <w:sz w:val="25"/>
                <w:szCs w:val="25"/>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7,914,036</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7,914,036</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7,914,036</w:t>
            </w:r>
          </w:p>
        </w:tc>
        <w:tc>
          <w:tcPr>
            <w:tcW w:w="760" w:type="dxa"/>
            <w:vAlign w:val="bottom"/>
            <w:shd w:val="clear" w:color="auto" w:fill="CCEEFF"/>
          </w:tcPr>
          <w:p>
            <w:pPr>
              <w:spacing w:after="0"/>
              <w:rPr>
                <w:sz w:val="23"/>
                <w:szCs w:val="23"/>
                <w:color w:val="auto"/>
              </w:rPr>
            </w:pPr>
          </w:p>
        </w:tc>
      </w:tr>
      <w:tr>
        <w:trPr>
          <w:trHeight w:val="22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Wellington  Management  Company,</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3100" w:type="dxa"/>
            <w:vAlign w:val="bottom"/>
            <w:gridSpan w:val="3"/>
          </w:tcPr>
          <w:p>
            <w:pPr>
              <w:ind w:left="40"/>
              <w:spacing w:after="0" w:line="239" w:lineRule="exact"/>
              <w:rPr>
                <w:sz w:val="20"/>
                <w:szCs w:val="20"/>
                <w:color w:val="auto"/>
              </w:rPr>
            </w:pPr>
            <w:r>
              <w:rPr>
                <w:rFonts w:ascii="Arial" w:cs="Arial" w:eastAsia="Arial" w:hAnsi="Arial"/>
                <w:sz w:val="16"/>
                <w:szCs w:val="16"/>
                <w:color w:val="auto"/>
              </w:rPr>
              <w:t>LLP</w:t>
            </w:r>
            <w:r>
              <w:rPr>
                <w:rFonts w:ascii="Arial" w:cs="Arial" w:eastAsia="Arial" w:hAnsi="Arial"/>
                <w:sz w:val="21"/>
                <w:szCs w:val="21"/>
                <w:color w:val="auto"/>
                <w:vertAlign w:val="superscript"/>
              </w:rPr>
              <w:t>(4)</w:t>
            </w:r>
          </w:p>
        </w:tc>
        <w:tc>
          <w:tcPr>
            <w:tcW w:w="1140" w:type="dxa"/>
            <w:vAlign w:val="bottom"/>
          </w:tcPr>
          <w:p>
            <w:pPr>
              <w:jc w:val="right"/>
              <w:spacing w:after="0"/>
              <w:rPr>
                <w:sz w:val="20"/>
                <w:szCs w:val="20"/>
                <w:color w:val="auto"/>
              </w:rPr>
            </w:pPr>
            <w:r>
              <w:rPr>
                <w:rFonts w:ascii="Arial" w:cs="Arial" w:eastAsia="Arial" w:hAnsi="Arial"/>
                <w:sz w:val="16"/>
                <w:szCs w:val="16"/>
                <w:color w:val="auto"/>
              </w:rPr>
              <w:t>3,747,150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3,747,150</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3,747,150</w:t>
            </w:r>
          </w:p>
        </w:tc>
        <w:tc>
          <w:tcPr>
            <w:tcW w:w="760" w:type="dxa"/>
            <w:vAlign w:val="bottom"/>
          </w:tcPr>
          <w:p>
            <w:pPr>
              <w:spacing w:after="0"/>
              <w:rPr>
                <w:sz w:val="20"/>
                <w:szCs w:val="20"/>
                <w:color w:val="auto"/>
              </w:rPr>
            </w:pPr>
          </w:p>
        </w:tc>
      </w:tr>
      <w:tr>
        <w:trPr>
          <w:trHeight w:val="250"/>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Executive Officers and Directors</w:t>
            </w: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Travis D. Stice</w:t>
            </w:r>
            <w:r>
              <w:rPr>
                <w:rFonts w:ascii="Arial" w:cs="Arial" w:eastAsia="Arial" w:hAnsi="Arial"/>
                <w:sz w:val="21"/>
                <w:szCs w:val="21"/>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6"/>
                <w:szCs w:val="16"/>
                <w:color w:val="auto"/>
              </w:rPr>
              <w:t>181,372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181,372</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181,372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Teresa L. Dick</w:t>
            </w:r>
            <w:r>
              <w:rPr>
                <w:rFonts w:ascii="Arial" w:cs="Arial" w:eastAsia="Arial" w:hAnsi="Arial"/>
                <w:sz w:val="21"/>
                <w:szCs w:val="21"/>
                <w:color w:val="auto"/>
                <w:vertAlign w:val="superscript"/>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17,886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Jeff White</w:t>
            </w:r>
            <w:r>
              <w:rPr>
                <w:rFonts w:ascii="Arial" w:cs="Arial" w:eastAsia="Arial" w:hAnsi="Arial"/>
                <w:sz w:val="21"/>
                <w:szCs w:val="21"/>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33,572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33,572</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33,572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Russell Pantermuehl</w:t>
            </w:r>
            <w:r>
              <w:rPr>
                <w:rFonts w:ascii="Arial" w:cs="Arial" w:eastAsia="Arial" w:hAnsi="Arial"/>
                <w:sz w:val="21"/>
                <w:szCs w:val="21"/>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35,572</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35,572</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35,572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Paul Molnar</w:t>
            </w:r>
            <w:r>
              <w:rPr>
                <w:rFonts w:ascii="Arial" w:cs="Arial" w:eastAsia="Arial" w:hAnsi="Arial"/>
                <w:sz w:val="21"/>
                <w:szCs w:val="21"/>
                <w:color w:val="auto"/>
                <w:vertAlign w:val="superscript"/>
              </w:rPr>
              <w:t>(9)</w:t>
            </w:r>
          </w:p>
        </w:tc>
        <w:tc>
          <w:tcPr>
            <w:tcW w:w="1140" w:type="dxa"/>
            <w:vAlign w:val="bottom"/>
          </w:tcPr>
          <w:p>
            <w:pPr>
              <w:jc w:val="right"/>
              <w:spacing w:after="0"/>
              <w:rPr>
                <w:sz w:val="20"/>
                <w:szCs w:val="20"/>
                <w:color w:val="auto"/>
              </w:rPr>
            </w:pPr>
            <w:r>
              <w:rPr>
                <w:rFonts w:ascii="Arial" w:cs="Arial" w:eastAsia="Arial" w:hAnsi="Arial"/>
                <w:sz w:val="16"/>
                <w:szCs w:val="16"/>
                <w:color w:val="auto"/>
              </w:rPr>
              <w:t>33,572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33,572</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33,572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Michael Hollis</w:t>
            </w:r>
            <w:r>
              <w:rPr>
                <w:rFonts w:ascii="Arial" w:cs="Arial" w:eastAsia="Arial" w:hAnsi="Arial"/>
                <w:sz w:val="21"/>
                <w:szCs w:val="21"/>
                <w:color w:val="auto"/>
                <w:vertAlign w:val="superscript"/>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33,572</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33,572</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33,572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William Franklin</w:t>
            </w:r>
            <w:r>
              <w:rPr>
                <w:rFonts w:ascii="Arial" w:cs="Arial" w:eastAsia="Arial" w:hAnsi="Arial"/>
                <w:sz w:val="21"/>
                <w:szCs w:val="21"/>
                <w:color w:val="auto"/>
                <w:vertAlign w:val="superscript"/>
              </w:rPr>
              <w:t>(11)</w:t>
            </w:r>
          </w:p>
        </w:tc>
        <w:tc>
          <w:tcPr>
            <w:tcW w:w="1140" w:type="dxa"/>
            <w:vAlign w:val="bottom"/>
          </w:tcPr>
          <w:p>
            <w:pPr>
              <w:jc w:val="right"/>
              <w:spacing w:after="0"/>
              <w:rPr>
                <w:sz w:val="20"/>
                <w:szCs w:val="20"/>
                <w:color w:val="auto"/>
              </w:rPr>
            </w:pPr>
            <w:r>
              <w:rPr>
                <w:rFonts w:ascii="Arial" w:cs="Arial" w:eastAsia="Arial" w:hAnsi="Arial"/>
                <w:sz w:val="16"/>
                <w:szCs w:val="16"/>
                <w:color w:val="auto"/>
              </w:rPr>
              <w:t>16,786</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16,786</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16,786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Randall J. Holder</w:t>
            </w:r>
            <w:r>
              <w:rPr>
                <w:rFonts w:ascii="Arial" w:cs="Arial" w:eastAsia="Arial" w:hAnsi="Arial"/>
                <w:sz w:val="21"/>
                <w:szCs w:val="21"/>
                <w:color w:val="auto"/>
                <w:vertAlign w:val="superscript"/>
              </w:rPr>
              <w:t>(12)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16,786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Steven E. West</w:t>
            </w:r>
            <w:r>
              <w:rPr>
                <w:rFonts w:ascii="Arial" w:cs="Arial" w:eastAsia="Arial" w:hAnsi="Arial"/>
                <w:sz w:val="21"/>
                <w:szCs w:val="21"/>
                <w:color w:val="auto"/>
                <w:vertAlign w:val="superscript"/>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2,222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2,222</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2,222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Michael P. Cross</w:t>
            </w:r>
            <w:r>
              <w:rPr>
                <w:rFonts w:ascii="Arial" w:cs="Arial" w:eastAsia="Arial" w:hAnsi="Arial"/>
                <w:sz w:val="21"/>
                <w:szCs w:val="21"/>
                <w:color w:val="auto"/>
                <w:vertAlign w:val="superscript"/>
              </w:rPr>
              <w:t>(13)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2,222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David L. Houston</w:t>
            </w:r>
            <w:r>
              <w:rPr>
                <w:rFonts w:ascii="Arial" w:cs="Arial" w:eastAsia="Arial" w:hAnsi="Arial"/>
                <w:sz w:val="21"/>
                <w:szCs w:val="21"/>
                <w:color w:val="auto"/>
                <w:vertAlign w:val="superscript"/>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2,222</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2,222</w:t>
            </w:r>
          </w:p>
        </w:tc>
        <w:tc>
          <w:tcPr>
            <w:tcW w:w="34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2,222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Mark L. Plaumann</w:t>
            </w:r>
            <w:r>
              <w:rPr>
                <w:rFonts w:ascii="Arial" w:cs="Arial" w:eastAsia="Arial" w:hAnsi="Arial"/>
                <w:sz w:val="21"/>
                <w:szCs w:val="21"/>
                <w:color w:val="auto"/>
                <w:vertAlign w:val="superscript"/>
              </w:rPr>
              <w:t>(13)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2,222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All executive officers, directors and</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director nominees as a group (13</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persons)</w:t>
            </w:r>
          </w:p>
        </w:tc>
        <w:tc>
          <w:tcPr>
            <w:tcW w:w="1140" w:type="dxa"/>
            <w:vAlign w:val="bottom"/>
          </w:tcPr>
          <w:p>
            <w:pPr>
              <w:jc w:val="right"/>
              <w:spacing w:after="0"/>
              <w:rPr>
                <w:sz w:val="20"/>
                <w:szCs w:val="20"/>
                <w:color w:val="auto"/>
              </w:rPr>
            </w:pPr>
            <w:r>
              <w:rPr>
                <w:rFonts w:ascii="Arial" w:cs="Arial" w:eastAsia="Arial" w:hAnsi="Arial"/>
                <w:sz w:val="16"/>
                <w:szCs w:val="16"/>
                <w:color w:val="auto"/>
              </w:rPr>
              <w:t>378,096</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378,096</w:t>
            </w:r>
          </w:p>
        </w:tc>
        <w:tc>
          <w:tcPr>
            <w:tcW w:w="340" w:type="dxa"/>
            <w:vAlign w:val="bottom"/>
          </w:tcPr>
          <w:p>
            <w:pPr>
              <w:spacing w:after="0"/>
              <w:rPr>
                <w:sz w:val="17"/>
                <w:szCs w:val="17"/>
                <w:color w:val="auto"/>
              </w:rPr>
            </w:pPr>
          </w:p>
        </w:tc>
        <w:tc>
          <w:tcPr>
            <w:tcW w:w="13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544"/>
              <w:spacing w:after="0"/>
              <w:rPr>
                <w:sz w:val="20"/>
                <w:szCs w:val="20"/>
                <w:color w:val="auto"/>
              </w:rPr>
            </w:pPr>
            <w:r>
              <w:rPr>
                <w:rFonts w:ascii="Arial" w:cs="Arial" w:eastAsia="Arial" w:hAnsi="Arial"/>
                <w:sz w:val="16"/>
                <w:szCs w:val="16"/>
                <w:color w:val="auto"/>
              </w:rPr>
              <w:t>378,096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jc w:val="both"/>
        <w:ind w:left="500" w:hanging="492"/>
        <w:spacing w:after="0" w:line="291"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Percentage of beneficial ownership is based upon 36,986,532 shares of common stock outstanding immediately prior to the offering, and shares of common stock (or shares of common stock if the underwriters’ option to purchase additional shares is exercised in full) outstanding after the offering. For purposes of this table, a person or group of persons is deemed to have “beneficial ownership” of any shares which such person has the right to acquire within 60 days. For purposes of computing the percentage of outstanding shares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w:t>
      </w:r>
    </w:p>
    <w:p>
      <w:pPr>
        <w:spacing w:after="0" w:line="5" w:lineRule="exact"/>
        <w:rPr>
          <w:rFonts w:ascii="Arial" w:cs="Arial" w:eastAsia="Arial" w:hAnsi="Arial"/>
          <w:sz w:val="16"/>
          <w:szCs w:val="16"/>
          <w:color w:val="auto"/>
        </w:rPr>
      </w:pPr>
    </w:p>
    <w:p>
      <w:pPr>
        <w:jc w:val="both"/>
        <w:ind w:left="500" w:hanging="492"/>
        <w:spacing w:after="0" w:line="297"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Schedule 13D/A filed with the SEC on December 11, 2012 by DB Energy Holdings LLC (“DB Holdings”), Wexford Spectrum Fund, L.P. (“WSF”), Wexford Catalyst Fund, L.P. (“WCF”), Spectrum Intermediate Fund Limited (“SIF”), Catalyst Intermediate Fund Limited (“CIF” and, together with DB Holdings, WSF, WCF and SIF, the “Funds”), Wexford Capital LP (“Wexford Capital”), Wexford GP LLC (“Wexford GP”), Charles E. Davidson (“Mr. Davidson”), and Joseph M. Jacobs (“Mr. Jacobs”). DB Holdings is a holding company managed by Wexford Capital. WSF, WCF, SIF and CIF are investment funds managed by Wexford Capital. Wexford Capital is an investment advisor registered with the SEC,</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both"/>
        <w:ind w:left="500"/>
        <w:spacing w:after="0" w:line="318" w:lineRule="auto"/>
        <w:rPr>
          <w:sz w:val="20"/>
          <w:szCs w:val="20"/>
          <w:color w:val="auto"/>
        </w:rPr>
      </w:pPr>
      <w:r>
        <w:rPr>
          <w:rFonts w:ascii="Arial" w:cs="Arial" w:eastAsia="Arial" w:hAnsi="Arial"/>
          <w:sz w:val="17"/>
          <w:szCs w:val="17"/>
          <w:color w:val="auto"/>
        </w:rPr>
        <w:t>and manages a series of investment funds. Wexford GP is the general partner of Wexford Capital. Mr. Davidson and Mr. Jacobs are the managing members of Wexford GP. DB has shared voting and dispositive power over 15,457,020 shares. WSF has shared voting and dispositive power over 184,408 shares. WCF has shared voting and dispositive power over 29,144 shares. SIF has shared voting and dispositive power over 621,479 shares. CIF has shared voting and dispositive power over 122,571 shares. Wexford Capital, Wexford GP, Mr. Davidson and Mr. Jacobs have shared voting and dispositive power over 16,414,622 shares. Wexford Capital may, by reason of its status as manager or investment manager of the Funds, be deemed to own beneficially the securities of which the Funds possess beneficial ownership. Wexford GP may, as the General Partner of Wexford Capital, be deemed to own beneficially the securities of which the Funds possess beneficial ownership. Each of Mr. Davidson and Mr. Jacobs may, by reason of his status as a controlling person of Wexford GP, be deemed to own beneficially the securities of which the Funds possess beneficial ownership. Each of Wexford Capital, Wexford GP, Mr. Davidson and Mr. Jacobs disclaims beneficial ownership of the securities owned by the Funds except, in the case of Mr. Davidson and Mr. Jacobs, to the extent of their respective interests in the Funds. Wexford’s address is Wexford Plaza, 411 West Putnam Avenue, Greenwich, Connecticut 06830.</w:t>
      </w:r>
    </w:p>
    <w:p>
      <w:pPr>
        <w:spacing w:after="0" w:line="1" w:lineRule="exact"/>
        <w:rPr>
          <w:sz w:val="20"/>
          <w:szCs w:val="20"/>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12, 2013 by Gulfport Energy Corporation. Gulfport Energy Corporation reported sole voting and dispositive power of such shares of common stock. Gulfport Energy Corporation’s address is 14313 North May Avenue, Suite 100, Oklahoma City, Oklahoma 73134.</w:t>
      </w:r>
    </w:p>
    <w:p>
      <w:pPr>
        <w:spacing w:after="0" w:line="19"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solely on Schedule 13G/A filed with the SEC on March 11, 2013 by Wellington Management Company, LLP. These shares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Wellington Management has shared voting power over 3,468,678 shares and shared dispositive power over 3,747,150 shares. Wellington Management Company, LLP’s address is 280 Congress Street, Boston, Massachusetts 02210.</w:t>
      </w:r>
    </w:p>
    <w:p>
      <w:pPr>
        <w:spacing w:after="0" w:line="10" w:lineRule="exact"/>
        <w:rPr>
          <w:rFonts w:ascii="Arial" w:cs="Arial" w:eastAsia="Arial" w:hAnsi="Arial"/>
          <w:sz w:val="17"/>
          <w:szCs w:val="17"/>
          <w:color w:val="auto"/>
        </w:rPr>
      </w:pPr>
    </w:p>
    <w:p>
      <w:pPr>
        <w:jc w:val="both"/>
        <w:ind w:left="500" w:hanging="492"/>
        <w:spacing w:after="0" w:line="288"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options to purchase 150,000 shares of our common stock, of which 75,000 will vest on April 18, 2013 and 28,572 restricted stock units, of which 14,286 restricted stock units which will vest on April 18, 2013. These 28,572 restricted stock units will not be settled until the first business day coincident with or next following the date of the first open trading window to occur after April 5, 2013, but no later than December 31, 2013. Excludes</w:t>
      </w:r>
    </w:p>
    <w:p>
      <w:pPr>
        <w:ind w:left="500" w:hanging="6"/>
        <w:spacing w:after="0" w:line="261" w:lineRule="auto"/>
        <w:tabs>
          <w:tab w:leader="none" w:pos="7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options to purchase 150,000 shares of our common stock and (ii) 28,571 restricted stock units, which will vest, in each case, in two remaining approximately equal annual installments beginning on April 18, 2014.</w:t>
      </w:r>
    </w:p>
    <w:p>
      <w:pPr>
        <w:spacing w:after="0" w:line="2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 common stock and (ii) 12,857 restricted stock units, which will vest, in each case, in three remaining approximately equal annual installments beginning on September 1, 2013.</w:t>
      </w:r>
    </w:p>
    <w:p>
      <w:pPr>
        <w:spacing w:after="0" w:line="24"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25,715 restricted stock units, which will vest, in each case, in three remaining approximately equal annual installments beginning on September 30, 2013.</w:t>
      </w:r>
    </w:p>
    <w:p>
      <w:pPr>
        <w:spacing w:after="0" w:line="24"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25,000 restricted stock units, which will vest, in each case, in three remaining approximately equal annual installments beginning on August 15, 2013.</w:t>
      </w:r>
    </w:p>
    <w:p>
      <w:pPr>
        <w:spacing w:after="0" w:line="24"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25,000 restricted stock units, which will vest, in each case, in three remaining approximately equal annual installments beginning on August 15, 2013.</w:t>
      </w:r>
    </w:p>
    <w:p>
      <w:pPr>
        <w:spacing w:after="0" w:line="24"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25,000 shares of our common stock and 8,572 restricted stock units, which restricted stock units will not be settled until the first business day coincident with or next following the date of the first open trading window to occur after April 5, 2013, but no later than December 31, 2013. Excludes (i) options to purchase 75,000 shares of our common stock and (ii) 25,000 restricted stock units, which will vest, in each case, in three remaining approximately equal annual installments beginning on September 12, 2013.</w:t>
      </w:r>
    </w:p>
    <w:p>
      <w:pPr>
        <w:spacing w:after="0" w:line="24"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500"/>
        <w:spacing w:after="0" w:line="313" w:lineRule="auto"/>
        <w:rPr>
          <w:sz w:val="20"/>
          <w:szCs w:val="20"/>
          <w:color w:val="auto"/>
        </w:rPr>
      </w:pPr>
      <w:r>
        <w:rPr>
          <w:rFonts w:ascii="Arial" w:cs="Arial" w:eastAsia="Arial" w:hAnsi="Arial"/>
          <w:sz w:val="18"/>
          <w:szCs w:val="18"/>
          <w:color w:val="auto"/>
        </w:rPr>
        <w:t>common stock and (ii) 12,500 restricted stock units, which will vest, in each case, in three remaining approximately equal annual installments beginning on August 8, 2013.</w:t>
      </w:r>
    </w:p>
    <w:p>
      <w:pPr>
        <w:jc w:val="both"/>
        <w:ind w:left="500" w:hanging="492"/>
        <w:spacing w:after="0" w:line="25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options to purchase 12,500 shares of our common stock and 4,286 restricted stock units, which restricted stock units will not be settled until the first business day coincident with or next following the date of the first open trading window to occur after April 5, 2013, but no later than December 31, 2013. Excludes (i) options to purchase 37,500 shares of our common stock and (ii) 12,500 restricted stock units which will vest in each case in three remaining approximately equal installments beginning on November 18, 2013.</w:t>
      </w:r>
    </w:p>
    <w:p>
      <w:pPr>
        <w:spacing w:after="0" w:line="24"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restricted stock units that will not be settled until the first business day coincident with or next following the date of the first open trading window to occur after April 5, 2013, but no later than December 31, 2013. Excludes 4,444 restricted stock units, which will vest in two remaining equal annual installments beginning on October 11,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10,000,000 shares of preferred stock, par value $0.01 per share. Our common stock is listed on the NASDAQ Global Select Market under the symbol “FANG.”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is authorized to issue up to 10,000,000 shares of preferred stock in one or more series. The board of directors may fix for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distinctive serial designation and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powers and the right, if any, to elect a director or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of office of any directors the holders of preferred shares are entitled to elect;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dividend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of redemption, and the amount of and provisions regarding any sinking fund for the purchase or redemption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liquidation preferences and the amounts payable on dissolution or liquidation;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under which shares of the series may or shall be converted into any other series or class of stock or debt of the corporation;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terms or provisions which the board of directors is legally authorized to fix or alter.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have no present plans to issue any shares of preferred stock.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and Corporate Opportunities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225" w:lineRule="exact"/>
        <w:rPr>
          <w:sz w:val="20"/>
          <w:szCs w:val="20"/>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170"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beginning on page 69 of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Undesignated preferred stock. </w:t>
      </w:r>
      <w:r>
        <w:rPr>
          <w:rFonts w:ascii="Arial" w:cs="Arial" w:eastAsia="Arial" w:hAnsi="Arial"/>
          <w:sz w:val="18"/>
          <w:szCs w:val="18"/>
          <w:color w:val="auto"/>
        </w:rPr>
        <w:t>The ability to authorize and issue undesignated preferred stock may enable our board of directors to render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Stockholder meetings. </w:t>
      </w:r>
      <w:r>
        <w:rPr>
          <w:rFonts w:ascii="Arial" w:cs="Arial" w:eastAsia="Arial" w:hAnsi="Arial"/>
          <w:sz w:val="18"/>
          <w:szCs w:val="18"/>
          <w:color w:val="auto"/>
        </w:rPr>
        <w:t>Our certificate of incorporation and bylaws provide that a special meeting of stockholders may be called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the Chief Executive Officer or by a resolution adopted by a majority of our board of directors.</w:t>
      </w:r>
    </w:p>
    <w:p>
      <w:pPr>
        <w:spacing w:after="0" w:line="1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Requirements for advance notification of stockholder nominations and proposals. </w:t>
      </w:r>
      <w:r>
        <w:rPr>
          <w:rFonts w:ascii="Arial" w:cs="Arial" w:eastAsia="Arial" w:hAnsi="Arial"/>
          <w:sz w:val="16"/>
          <w:szCs w:val="16"/>
          <w:color w:val="auto"/>
        </w:rPr>
        <w:t>Our bylaws establish advance notice procedures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proposals and the nomination of candidates for election as directors, other than nominations made by or at the direction of the board of directors.</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Stockholder action by written consent. </w:t>
      </w:r>
      <w:r>
        <w:rPr>
          <w:rFonts w:ascii="Arial" w:cs="Arial" w:eastAsia="Arial" w:hAnsi="Arial"/>
          <w:sz w:val="16"/>
          <w:szCs w:val="16"/>
          <w:color w:val="auto"/>
        </w:rPr>
        <w:t>Our bylaws provide that, except as may otherwise be provided with respect to the rights of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 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Amendment of the bylaws. </w:t>
      </w:r>
      <w:r>
        <w:rPr>
          <w:rFonts w:ascii="Arial" w:cs="Arial" w:eastAsia="Arial" w:hAnsi="Arial"/>
          <w:sz w:val="18"/>
          <w:szCs w:val="18"/>
          <w:color w:val="auto"/>
        </w:rPr>
        <w:t>Under Delaware law, the power to adopt, amend or repeal bylaws is conferred upon the stockholders. A corporation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then in office. Our stockholders may adopt, amend or repeal our bylaws but only at any regular or special meeting of stockholders by an affirmative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vote of holders of at least 66 2/3% of the voting power of all then outstanding shares of capital stock entitled to vote generally in the election of directors, voting together as a single class.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 </w:t>
      </w:r>
      <w:r>
        <w:rPr>
          <w:rFonts w:ascii="Arial" w:cs="Arial" w:eastAsia="Arial" w:hAnsi="Arial"/>
          <w:sz w:val="18"/>
          <w:szCs w:val="18"/>
          <w:color w:val="auto"/>
        </w:rPr>
        <w:t>Our certificate of incorporation and bylaws provide that members of our board of directors may only be removed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holders of at least 66 2/3% of the voting power of all then outstanding shares of capital stock entitled to vote generally in the election of directors, voting together as a single class.</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Amendment of the Certificate of Incorporation. </w:t>
      </w:r>
      <w:r>
        <w:rPr>
          <w:rFonts w:ascii="Arial" w:cs="Arial" w:eastAsia="Arial" w:hAnsi="Arial"/>
          <w:sz w:val="16"/>
          <w:szCs w:val="16"/>
          <w:color w:val="auto"/>
        </w:rPr>
        <w:t>Our certificate of incorporation provides that, in addition to any other vote that may be required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or any preferred stock designation, the affirmative vote of the holders of at least 66 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may occur, could adversely affect the prevailing market price of our common stock. We cannot predict the effect, if any, that future sales of shares, or the availability of shares for future sales, will have on the market price of our common stock prevailing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completion of this offering, we will have shares of common stock outstanding (or shares of common stock if the underwriters’ option to purchase additional shares is exercised in full). Of these shares of common stock, the shares of common stock being sold in this offering, plus any shares sold upon exercise of the underwriters’ option to purchase additional shares, and the 14,375,000 shares sold in our initial public offering will be freely tradable without restriction under the Securities Act, except for any such shares held or acquired by an “affiliate” of ours, as that term is defined in Rule 144 promulgated under the Securities Act, which shares will be subject to the volume limitations and other restrictions of Rule 144 described below. The remaining shares of outstanding common stock are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 These remaining shares of common stock will be available for sale in the public market after the expiration of the lock-up agreements described in “</w:t>
      </w:r>
      <w:r>
        <w:rPr>
          <w:rFonts w:ascii="Arial" w:cs="Arial" w:eastAsia="Arial" w:hAnsi="Arial"/>
          <w:sz w:val="17"/>
          <w:szCs w:val="17"/>
          <w:i w:val="1"/>
          <w:iCs w:val="1"/>
          <w:color w:val="auto"/>
        </w:rPr>
        <w:t>Underwriting</w:t>
      </w:r>
      <w:r>
        <w:rPr>
          <w:rFonts w:ascii="Arial" w:cs="Arial" w:eastAsia="Arial" w:hAnsi="Arial"/>
          <w:sz w:val="17"/>
          <w:szCs w:val="17"/>
          <w:color w:val="auto"/>
        </w:rPr>
        <w:t>” beginning on page 85 of this prospectus, taking into account the provisions of Rules 144 and 701 under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general, under Rule 144 as currently in effect, a person who is the beneficial owner of restricted shares of our common stock may sell such person’s shares upon the earlier of (1) the expiration of a six-month holding period, if we have been subject to the reporting requirements of the Exchange Act, for at least 90 days prior to the date of the sale and have filed all reports required thereunder, or (2) the expiration of a one-year holding period.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expiration of the six-month holding period, assuming we have been subject to the Exchange Act reporting requirements for at least 90 days and have filed all reports required thereunder, a person who was not one of our affiliates at any time during the three months preceding a sale would be entitled to sell an unlimited number of shares of our common stock, and a person who was one of our affiliates at any time during the three months preceding a sale would be entitled to sell, within any three-month period, a number of shares of common stock that does not exceed the greater of either of the following:</w:t>
      </w:r>
    </w:p>
    <w:p>
      <w:pPr>
        <w:spacing w:after="0" w:line="80"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shares immediately after this offering; or</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general, under Rule 701, any of our employees, directors, officers, consultants or advisors who purchased shares from us in connection with a compensatory stock or option plan or other written agreement before our initial public offering, or who purchased shares from us after our initial public offering upon the exercise of options granted before our initial public offering, are eligible to resell such shares in reliance upon Rule 144 but without compliance with certain restrictions of Rule 144, including the holding period requirement. If such person is not an affiliate, the sale may be made subject only to the manner-of-sale restrictions of Rule 144. However, substantially all Rule 701 shares are subject to lock-up agreements, as described under “</w:t>
      </w:r>
      <w:r>
        <w:rPr>
          <w:rFonts w:ascii="Arial" w:cs="Arial" w:eastAsia="Arial" w:hAnsi="Arial"/>
          <w:sz w:val="16"/>
          <w:szCs w:val="16"/>
          <w:i w:val="1"/>
          <w:iCs w:val="1"/>
          <w:color w:val="auto"/>
        </w:rPr>
        <w:t>Underwriting</w:t>
      </w:r>
      <w:r>
        <w:rPr>
          <w:rFonts w:ascii="Arial" w:cs="Arial" w:eastAsia="Arial" w:hAnsi="Arial"/>
          <w:sz w:val="16"/>
          <w:szCs w:val="16"/>
          <w:color w:val="auto"/>
        </w:rPr>
        <w:t>” beginning on page 85 of this prospectus, and will become eligible for sale upon the expiration of the restrictions set forth in these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our initial public offering, we entered into a registration rights agreements with DB Holdings and an investor rights agreement with Gulfport. Under these agreements, each of DB Holdings and Gulfport has demand and “piggyback” registration rights. The demand rights enable each such stockholder to require us to register its shares of our common stock with the SEC at any time, subject to the 180-day lock-up agreement it has entered into in connection with our initial public offering. The piggyback rights will allow each such stockholder to register the shares of our common stock that it owns along with any shares that we register with the SEC. These registration rights are subject to customary conditions and limitations, including the right of the underwriters of an offering to limit the number of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shares of our common stock issued or reserved for issuance under our equity incentive plan. The first such registration statement is expected to be filed soon after the date of this prospectus and will automatically become effective upon filing with the SEC.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each of our directors and executive officers and DB Holdings have agreed that, subject to certain exceptions, without the prior written consent of Credit Suisse Securities (USA) LLC, we and they will not, directly or indirectly, for a period of 90 days, or 60 days with respect to DB Holdings, after the date of the offering (a period that may be extended for up to 18 days under certain circumstances), offer, pledge, sell, contract to sell or otherwise transfer or dispose of any shares of our common stock (other than the shares of our common stock subject to this offering) or any other securities convertible into or exercisable or exchangeable for our common stock. For additional information, see “</w:t>
      </w:r>
      <w:r>
        <w:rPr>
          <w:rFonts w:ascii="Arial" w:cs="Arial" w:eastAsia="Arial" w:hAnsi="Arial"/>
          <w:sz w:val="16"/>
          <w:szCs w:val="16"/>
          <w:i w:val="1"/>
          <w:iCs w:val="1"/>
          <w:color w:val="auto"/>
        </w:rPr>
        <w:t>Underwriting</w:t>
      </w:r>
      <w:r>
        <w:rPr>
          <w:rFonts w:ascii="Arial" w:cs="Arial" w:eastAsia="Arial" w:hAnsi="Arial"/>
          <w:sz w:val="16"/>
          <w:szCs w:val="16"/>
          <w:color w:val="auto"/>
        </w:rPr>
        <w:t>” beginning on page 85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 FOR NON-U.S. HOLDERS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is a general discussion of material U.S. federal income and estate tax consequences of the ownership and disposition of our common stock by a non-U.S. holder (as defined below). This discussion deals only with common stock purchased in this offering that is held as a “capital asset” within the meaning of Section 1221 of the Internal Revenue Code of 1986, as amended, or the Code (generally, property held for investment), by a non-U.S. holder. Except as modified for estate tax purposes, the term “non-U.S. holder” means a beneficial owner of our common stock that is not a “U.S. person” or a partnership for U.S. federal income and estate tax purposes. A U.S. person is any of the following:</w:t>
      </w:r>
    </w:p>
    <w:p>
      <w:pPr>
        <w:spacing w:after="0" w:line="64"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trust, if a court within the United States is able to exercise primary supervision over the administration of the trust and one or more U.S. persons have authority to control all substantial decisions of the trust, or if it has a valid election in effect under applicable U.S. Treasury Regulations to be treated as a U.S. person.</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individual may generally be treated as a resident of the United States in any calendar year for U.S. federal income tax purposes, by, among other ways, being present in the United States for at least 31 days in that calendar year and for an aggregate of at least 183 days during a three-year period ending in the current calendar year. For purposes of the 183-day calculation, all of the days present in the current year, one-third of the days present in the immediately preceding year and one-sixth of the days present in the second preceding year are counted. Residents are taxed for U.S. federal income tax purposes as if they were U.S. citizens.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discussion is based upon provisions of the Code, and Treasury Regulations, administrative rulings and judicial decisions, all as of the date hereof. Those authorities may be changed, perhaps retroactively, so as to result in U.S. federal income and estate tax consequences different from those discussed below. No ruling has been or will be sought from the Internal Revenue Service, or IRS, with respect to the matters discussed below, and there can be no assurance the IRS will not take a contrary position regarding the tax consequences of the acquisition, ownership or disposition of our common stock, or that such contrary position would not be sustained by a court. This discussion does not address all aspects of U.S. federal income and estate taxation, including the impact of the unearned income Medicare contribution tax and does not deal with other U.S. federal tax laws (such as gift tax laws) or foreign, state, local or other tax considerations that may be relevant to non-U.S. holders in light of their personal circumstances. In addition, this discussion does not address tax considerations applicable to investors that may be subject to special treatment under the U.S. federal income tax laws, such as (without limitation):</w:t>
      </w:r>
    </w:p>
    <w:p>
      <w:pPr>
        <w:spacing w:after="0" w:line="89"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former U.S. citizens or residents;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shareholders that hold our common stock as part of a straddle, constructive sale transaction, synthetic security, hedge, conversion transaction or other integrated investment or risk reduction transaction;</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shareholders that acquired our common stock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shareholders that are partnerships or entities treated as partnerships for U.S. federal income tax purposes or other pass-through entities or owners thereof;</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shareholders that own, or are deemed to own, more than five percent (5%) of our outstanding common stock (except to the extent specifically set forth below);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shareholders subject to the alternative minimum tax;</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financial institutions, banks and thrifts;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broker-dealers or dealers in securities or foreign currencies;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traders in securities that use a mark-to-market method of accounting for U.S. federal income tax purposes.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our common stock, the U.S. federal income tax treatment of a partner generally will depend upon the status of the partner and the activities of the partnership. If you are a partner of a partnership (including an entity treated as a partnership for U.S. federal income tax purposes) holding our common stock, you should consult your tax advisor.</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DISCUSSION IS FOR GENERAL INFORMATION ONLY AND SHOULD NOT BE VIEWED AS TAX ADVICE. INVESTORS CONSIDERING THE PURCHASE OF OUR COMMON STOCK SHOULD CONSULT THEIR OWN TAX ADVISORS REGARDING THE APPLICATION OF THE U.S. FEDERAL INCOME AND ESTATE AND GIFT TAX LAWS TO THEIR PARTICULAR SITUATION AS WELL AS THE APPLICABILITY AND EFFECT OF ANY STATE, LOCAL OR FOREIGN TAX LAWS OR TAX TREATIES AND ANY OTHER U.S. FEDERAL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expect to pay any cash distributions on our common stock in the foreseeable future. However, in the event we do make such cash distributions, these distributions generally will constitute dividends for U.S. federal income tax purposes to the extent paid from our current or accumulated earnings and profits, as determined under U.S. federal income tax principles. If any such distribution exceeds our current and accumulated earnings and profits, the excess will be treated as a non-taxable return of capital to the extent of the non-U.S. holder’s tax basis in our common stock and thereafter as capital gain from the sale or exchange of such common stock. See “</w:t>
      </w:r>
      <w:r>
        <w:rPr>
          <w:rFonts w:ascii="Arial" w:cs="Arial" w:eastAsia="Arial" w:hAnsi="Arial"/>
          <w:sz w:val="17"/>
          <w:szCs w:val="17"/>
          <w:i w:val="1"/>
          <w:iCs w:val="1"/>
          <w:color w:val="auto"/>
        </w:rPr>
        <w:t>—Gain on Disposition of Common Stock</w:t>
      </w:r>
      <w:r>
        <w:rPr>
          <w:rFonts w:ascii="Arial" w:cs="Arial" w:eastAsia="Arial" w:hAnsi="Arial"/>
          <w:sz w:val="17"/>
          <w:szCs w:val="17"/>
          <w:color w:val="auto"/>
        </w:rPr>
        <w:t>” below. Dividends paid to a non-U.S. holder of our common stock that are not effectively connected with the non-U.S. holder’s conduct of a trade or business within the United States will be subject to U.S. withholding tax at a 30% rate, or if an income tax treaty applies, a lower rate specified by the treaty. In order to receive a reduced treaty rate, a non-U.S. holder must provide to us or our withholding agent IRS Form W-8BEN (or applicable substitute or successor form) properly certifying eligibility for the reduced rate. Non-U.S. holders that do not timely provide us or our withholding agent with the required certification, but that qualify for a reduced treaty rate, may obtain a refund of any excess amounts withheld by timely filing an appropriate claim for refund with the IRS. Non-U.S. holders should consult their tax advisors regarding their entitlement to benefits under an applicable income tax treaty.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United States and, if an income tax treaty so requires, are attributable to a permanent establishment maintained by the non-U.S. holder in the United States, are taxed on a net income basis at the regular graduated rates and in the manner applicable to U.S. persons. In that case, we or our withholding agent will not have to withhold U.S. federal withholding tax if the non-U.S. holder complies with applicable certification and disclosure requirements (which may generally be met by providing an IRS Form W-8ECI). In addition, a “branch profits tax” may be imposed at a 30% rate (or a lower rate specified under an applicable income tax treaty) on a foreign corporation’s effectively connected earnings and profits for the taxable year, as adjusted for certain items. Non-U.S. holders should consult any applicable income tax treaties that may provide for different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gain recognized on a disposition of our common stock unless:</w:t>
      </w:r>
    </w:p>
    <w:p>
      <w:pPr>
        <w:spacing w:after="0" w:line="62" w:lineRule="exact"/>
        <w:rPr>
          <w:sz w:val="20"/>
          <w:szCs w:val="20"/>
          <w:color w:val="auto"/>
        </w:rPr>
      </w:pPr>
    </w:p>
    <w:p>
      <w:pPr>
        <w:jc w:val="both"/>
        <w:ind w:left="980" w:hanging="324"/>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permanent establishment maintained by the non-U.S. holder in the United States, in which case, the gain will be taxed on a net income basis at the U.S. federal income tax rates and in the manner applicable to U.S. persons, and if the non-U.S. holder is a foreign corporation, the branch profits tax described above may also apply;</w:t>
      </w:r>
    </w:p>
    <w:p>
      <w:pPr>
        <w:spacing w:after="0" w:line="7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meets other requirements, in which case, the non-U.S. holder will be subject to a flat 30% tax on the gain derived from the disposition (or such lower rate specified by an applicable income tax treaty), which may be offset by U.S. source capital losses, provided the non-U.S. holder has timely filed U.S. federal income tax returns with respect to such losses; or</w:t>
      </w:r>
    </w:p>
    <w:p>
      <w:pPr>
        <w:spacing w:after="0" w:line="78"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or USRPHC, for U.S. federal income tax purposes at any time during the shorter of the five-year period ending on the date of disposition or the period that the non-U.S. holder held our common stock.</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we currently are a USRPHC. If we are or become a USRPHC, a non-U.S holder nonetheless will not be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U.S. federal income tax or withholding in respect of any gain realized on a sale or other disposition of our common stock so long as (i) our common stock is “regularly traded on an established securities market” for U.S. federal income tax purposes and (ii) such non-U.S. holder does not actually or constructively own, at any time during the applicable period described in the third bullet point, above, more than 5% of our outstanding common stock. We expect our common stock to be “regularly traded” on an established securities market, although we cannot guarantee it will be so traded. Accordingly, a non-U.S holder who actually or constructively owns more than 5% of our common stock would be subject to U.S. federal income tax and withholding in respect of any gain realized on any sale or other disposition of common stock (taxed in the same manner as gain that is effectively connected income, except that the branch profits tax would not apply). Non-U.S. holders should consult their own advisor about the consequences that could result if we are, or become, a USRPHC.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Dividends paid to you will generally be subject to information reporting and may be subject to U.S. backup withholding. You will be exempt from backup withholding if you properly provide a Form W-8BEN certifying under penalties of perjury that you are a non-U.S. holder or otherwise meet documentary evidence requirements for establishing that you are a non-U.S. holder, or you otherwise establish an exemption. Copies of the information returns reporting such dividends and the tax withheld with respect to such dividends also may be made available to the tax authorities in the country in which you reside.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gross proceeds from the disposition of our common stock may be subject to information reporting and backup withholding. If you receive payments of the proceeds of a disposition of our common stock to or through a U.S. office of a broker, the payment will be subject to both U.S. backup withholding and information reporting unless you properly provide an IRS Form W-8BEN certifying under penalties of perjury that you are a non-U.S. person (and the payor does not have actual knowledge or reason to know that you are a U.S. person) or you otherwise establish an exemption. If you sell your common stock outside the United States through a non-U.S. office of a non-U.S. broker and the sales proceeds are paid to you outside the United States, then the U.S. backup withholding and information reporting requirements generally will not apply to that payment. However, U.S. information reporting, but not backup withholding, will generally apply to a payment of sales proceeds, even if that payment is made outside the United States, if you sell your common stock through a non-U.S. office of a broker that has certain relationships with the United States unless the broker has documentary evidence in its files that you are a non-U.S. person and certain other conditions are met, or you otherwise establish an exemption.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Backup withholding is not an additional tax. You may obtain a refund or credit of any amounts withheld under the backup withholding rules that exceed your U.S. federal income tax liability, if any, provided the required information is timely furnished to the 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U.S. federal estate tax purposes) at the time of death will be included in such individual’s gross estate for U.S. federal estate tax purposes, unless an applicable estate tax treaty provides otherwise, and, therefore, may be subject to U.S. federal estate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89" w:lineRule="exact"/>
        <w:rPr>
          <w:sz w:val="20"/>
          <w:szCs w:val="20"/>
          <w:color w:val="auto"/>
        </w:rPr>
      </w:pPr>
    </w:p>
    <w:p>
      <w:pPr>
        <w:jc w:val="both"/>
        <w:ind w:firstLine="513"/>
        <w:spacing w:after="0" w:line="284" w:lineRule="auto"/>
        <w:rPr>
          <w:sz w:val="20"/>
          <w:szCs w:val="20"/>
          <w:color w:val="auto"/>
        </w:rPr>
      </w:pPr>
      <w:r>
        <w:rPr>
          <w:rFonts w:ascii="Arial" w:cs="Arial" w:eastAsia="Arial" w:hAnsi="Arial"/>
          <w:sz w:val="16"/>
          <w:szCs w:val="16"/>
          <w:color w:val="auto"/>
        </w:rPr>
        <w:t>Under the Foreign Account Tax Compliance Act, or FATCA, a 30% withholding tax will generally apply to dividends on, or gross proceeds from the sale or other disposition of, common stock paid to a foreign financial institution unless the foreign financial institution (i) enters into an agreement with the U.S. Treasury to, among other things, undertake to identify accounts held by certain U.S. persons or U.S.-owned foreign entities, annually report certain information about such accounts, and withhold 30% on payments to account holders whose actions prevent it from complying with these reporting and other requirements, (ii) is resident in a country that has entered into an intergovernmental agreement with the United States in relation to such withholding and information reporting and the financial entity complies with related information reporting requirements of such country, or (iii) qualifies for an exemption from these rules. A foreign financial institution generally is a foreign entity that (i) accepts deposits in the ordinary course of a banking or similar business,</w:t>
      </w:r>
    </w:p>
    <w:p>
      <w:pPr>
        <w:spacing w:after="0" w:line="3" w:lineRule="exact"/>
        <w:rPr>
          <w:sz w:val="20"/>
          <w:szCs w:val="20"/>
          <w:color w:val="auto"/>
        </w:rPr>
      </w:pPr>
    </w:p>
    <w:p>
      <w:pPr>
        <w:jc w:val="both"/>
        <w:ind w:firstLine="8"/>
        <w:spacing w:after="0" w:line="252" w:lineRule="auto"/>
        <w:tabs>
          <w:tab w:leader="none" w:pos="2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a substantial portion of its business, holds financial assets for the benefit of one or more other persons, or (iii) is an investment entity that, in general, primarily conducts as a business on behalf of customers trading in certain financial instruments, individual or collective portfolio management or otherwise investing, administering, or managing funds, money or certain financial assets on behalf of other persons. In addition, FATCA generally imposes a 30% withholding tax on the same types of payments to a non-financial foreign entity unless the entity certifies that it does not have any substantial U.S. owners, furnishes identifying information regarding each substantial U.S. owner, or otherwise qualifies for an exemption from these rules. In either case, such payments would include U.S.-source dividends and the gross proceeds from the sale or other disposition of stock that can produce U.S.-source dividends. By its terms, FATCA generally applies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payments of dividends on, or gross proceeds from the sale or disposition of, common stock made after December 31, 2012. However, the Treasury Department has issued final Treasury regulations that defer the application of FATCA's withholding obligations to payments of dividends made on or after January 1, 2014, and payments of gross proceeds made on or after January 1, 2017.</w:t>
      </w:r>
    </w:p>
    <w:p>
      <w:pPr>
        <w:spacing w:after="0" w:line="141" w:lineRule="exact"/>
        <w:rPr>
          <w:sz w:val="20"/>
          <w:szCs w:val="20"/>
          <w:color w:val="auto"/>
        </w:rPr>
      </w:pPr>
    </w:p>
    <w:p>
      <w:pPr>
        <w:jc w:val="both"/>
        <w:ind w:firstLine="182"/>
        <w:spacing w:after="0" w:line="286" w:lineRule="auto"/>
        <w:rPr>
          <w:sz w:val="20"/>
          <w:szCs w:val="20"/>
          <w:color w:val="auto"/>
        </w:rPr>
      </w:pPr>
      <w:r>
        <w:rPr>
          <w:rFonts w:ascii="Arial" w:cs="Arial" w:eastAsia="Arial" w:hAnsi="Arial"/>
          <w:sz w:val="17"/>
          <w:szCs w:val="17"/>
          <w:color w:val="auto"/>
        </w:rPr>
        <w:t>The final Treasury regulations provide detailed guidance regarding the reporting, withholding and other obligations under FATCA. Investors should consult their tax advisors regarding the possible impact of the FATCA rules on their investment in our common stock, including, without limitation, the process and deadlines for meeting the applicable requirements to prevent the imposition of the 30% withholding tax under FATCA.</w:t>
      </w:r>
    </w:p>
    <w:p>
      <w:pPr>
        <w:spacing w:after="0" w:line="125" w:lineRule="exact"/>
        <w:rPr>
          <w:sz w:val="20"/>
          <w:szCs w:val="20"/>
          <w:color w:val="auto"/>
        </w:rPr>
      </w:pPr>
    </w:p>
    <w:p>
      <w:pPr>
        <w:jc w:val="both"/>
        <w:ind w:firstLine="279"/>
        <w:spacing w:after="0" w:line="259" w:lineRule="auto"/>
        <w:rPr>
          <w:sz w:val="20"/>
          <w:szCs w:val="20"/>
          <w:color w:val="auto"/>
        </w:rPr>
      </w:pPr>
      <w:r>
        <w:rPr>
          <w:rFonts w:ascii="Arial" w:cs="Arial" w:eastAsia="Arial" w:hAnsi="Arial"/>
          <w:sz w:val="18"/>
          <w:szCs w:val="18"/>
          <w:color w:val="auto"/>
        </w:rPr>
        <w:t>THE SUMMARY OF MATERIAL U.S. FEDERAL INCOME AND ESTATE TAX CONSIDERATIONS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75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3840" w:type="dxa"/>
            <w:vAlign w:val="bottom"/>
          </w:tcPr>
          <w:p>
            <w:pPr>
              <w:spacing w:after="0"/>
              <w:rPr>
                <w:sz w:val="17"/>
                <w:szCs w:val="17"/>
                <w:color w:val="auto"/>
              </w:rPr>
            </w:pPr>
          </w:p>
        </w:tc>
      </w:tr>
      <w:tr>
        <w:trPr>
          <w:trHeight w:val="480"/>
        </w:trPr>
        <w:tc>
          <w:tcPr>
            <w:tcW w:w="1280" w:type="dxa"/>
            <w:vAlign w:val="bottom"/>
            <w:tcBorders>
              <w:top w:val="single" w:sz="8" w:color="0000FF"/>
            </w:tcBorders>
          </w:tcPr>
          <w:p>
            <w:pPr>
              <w:spacing w:after="0"/>
              <w:rPr>
                <w:sz w:val="24"/>
                <w:szCs w:val="24"/>
                <w:color w:val="auto"/>
              </w:rPr>
            </w:pPr>
          </w:p>
        </w:tc>
        <w:tc>
          <w:tcPr>
            <w:tcW w:w="6300" w:type="dxa"/>
            <w:vAlign w:val="bottom"/>
          </w:tcPr>
          <w:p>
            <w:pPr>
              <w:ind w:left="3700"/>
              <w:spacing w:after="0"/>
              <w:rPr>
                <w:sz w:val="20"/>
                <w:szCs w:val="20"/>
                <w:color w:val="auto"/>
              </w:rPr>
            </w:pPr>
            <w:r>
              <w:rPr>
                <w:rFonts w:ascii="Arial" w:cs="Arial" w:eastAsia="Arial" w:hAnsi="Arial"/>
                <w:sz w:val="18"/>
                <w:szCs w:val="18"/>
                <w:b w:val="1"/>
                <w:bCs w:val="1"/>
                <w:color w:val="auto"/>
              </w:rPr>
              <w:t>UNDERWRITING</w:t>
            </w:r>
          </w:p>
        </w:tc>
        <w:tc>
          <w:tcPr>
            <w:tcW w:w="3840" w:type="dxa"/>
            <w:vAlign w:val="bottom"/>
          </w:tcPr>
          <w:p>
            <w:pPr>
              <w:spacing w:after="0"/>
              <w:rPr>
                <w:sz w:val="24"/>
                <w:szCs w:val="24"/>
                <w:color w:val="auto"/>
              </w:rPr>
            </w:pPr>
          </w:p>
        </w:tc>
      </w:tr>
      <w:tr>
        <w:trPr>
          <w:trHeight w:val="378"/>
        </w:trPr>
        <w:tc>
          <w:tcPr>
            <w:tcW w:w="7580" w:type="dxa"/>
            <w:vAlign w:val="bottom"/>
            <w:gridSpan w:val="2"/>
          </w:tcPr>
          <w:p>
            <w:pPr>
              <w:ind w:left="6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840" w:type="dxa"/>
            <w:vAlign w:val="bottom"/>
          </w:tcPr>
          <w:p>
            <w:pPr>
              <w:ind w:left="260"/>
              <w:spacing w:after="0"/>
              <w:rPr>
                <w:sz w:val="20"/>
                <w:szCs w:val="20"/>
                <w:color w:val="auto"/>
              </w:rPr>
            </w:pPr>
            <w:r>
              <w:rPr>
                <w:rFonts w:ascii="Arial" w:cs="Arial" w:eastAsia="Arial" w:hAnsi="Arial"/>
                <w:sz w:val="18"/>
                <w:szCs w:val="18"/>
                <w:color w:val="auto"/>
                <w:w w:val="90"/>
              </w:rPr>
              <w:t>, 2013, we have agreed to sell to the underwriters</w:t>
            </w:r>
          </w:p>
        </w:tc>
      </w:tr>
    </w:tbl>
    <w:p>
      <w:pPr>
        <w:spacing w:after="0"/>
        <w:rPr>
          <w:sz w:val="20"/>
          <w:szCs w:val="20"/>
          <w:color w:val="auto"/>
        </w:rPr>
      </w:pPr>
      <w:r>
        <w:rPr>
          <w:rFonts w:ascii="Arial" w:cs="Arial" w:eastAsia="Arial" w:hAnsi="Arial"/>
          <w:sz w:val="17"/>
          <w:szCs w:val="17"/>
          <w:color w:val="auto"/>
        </w:rPr>
        <w:t>named below, for whom Credit Suisse Securities (USA) LLC is acting as representative, the following respective numbers of shares of common stock:</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8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95"/>
              </w:rPr>
              <w:t>Underwriter</w:t>
            </w:r>
          </w:p>
        </w:tc>
        <w:tc>
          <w:tcPr>
            <w:tcW w:w="3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Shares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8360" w:type="dxa"/>
            <w:vAlign w:val="bottom"/>
            <w:gridSpan w:val="3"/>
          </w:tcPr>
          <w:p>
            <w:pPr>
              <w:spacing w:after="0"/>
              <w:rPr>
                <w:sz w:val="20"/>
                <w:szCs w:val="20"/>
                <w:color w:val="auto"/>
              </w:rPr>
            </w:pPr>
            <w:r>
              <w:rPr>
                <w:rFonts w:ascii="Arial" w:cs="Arial" w:eastAsia="Arial" w:hAnsi="Arial"/>
                <w:sz w:val="16"/>
                <w:szCs w:val="16"/>
                <w:color w:val="auto"/>
              </w:rPr>
              <w:t>Credit Suisse Securities (USA) LLC</w:t>
            </w: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8360" w:type="dxa"/>
            <w:vAlign w:val="bottom"/>
            <w:gridSpan w:val="3"/>
            <w:vMerge w:val="restart"/>
          </w:tcPr>
          <w:p>
            <w:pPr>
              <w:ind w:left="16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8360" w:type="dxa"/>
            <w:vAlign w:val="bottom"/>
            <w:gridSpan w:val="3"/>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the shares of common stock in the offering if any are purchased, other than those shares covered by the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granted to the underwriters a 30-day option to purchase up to an aggregate of additional shares at the public offering price less the underwriting discounts and commissions.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group members at that price less a selling concession of $ per share. The underwriters and selling group members may allow a discount of $ per share on sales to other broker/dealers. After the initial public offering the representatives may change the public offering price and concession and discount to broker/dealers.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80" w:type="dxa"/>
            <w:vAlign w:val="bottom"/>
            <w:gridSpan w:val="4"/>
          </w:tcPr>
          <w:p>
            <w:pPr>
              <w:jc w:val="right"/>
              <w:ind w:right="1840"/>
              <w:spacing w:after="0"/>
              <w:rPr>
                <w:sz w:val="20"/>
                <w:szCs w:val="20"/>
                <w:color w:val="auto"/>
              </w:rPr>
            </w:pPr>
            <w:r>
              <w:rPr>
                <w:rFonts w:ascii="Arial" w:cs="Arial" w:eastAsia="Arial" w:hAnsi="Arial"/>
                <w:sz w:val="14"/>
                <w:szCs w:val="14"/>
                <w:color w:val="auto"/>
              </w:rPr>
              <w:t>Per Share</w:t>
            </w:r>
          </w:p>
        </w:tc>
        <w:tc>
          <w:tcPr>
            <w:tcW w:w="1240" w:type="dxa"/>
            <w:vAlign w:val="bottom"/>
          </w:tcPr>
          <w:p>
            <w:pPr>
              <w:spacing w:after="0"/>
              <w:rPr>
                <w:sz w:val="15"/>
                <w:szCs w:val="15"/>
                <w:color w:val="auto"/>
              </w:rPr>
            </w:pPr>
          </w:p>
        </w:tc>
        <w:tc>
          <w:tcPr>
            <w:tcW w:w="1700" w:type="dxa"/>
            <w:vAlign w:val="bottom"/>
            <w:gridSpan w:val="2"/>
          </w:tcPr>
          <w:p>
            <w:pPr>
              <w:jc w:val="right"/>
              <w:ind w:right="1248"/>
              <w:spacing w:after="0"/>
              <w:rPr>
                <w:sz w:val="20"/>
                <w:szCs w:val="20"/>
                <w:color w:val="auto"/>
              </w:rPr>
            </w:pPr>
            <w:r>
              <w:rPr>
                <w:rFonts w:ascii="Arial" w:cs="Arial" w:eastAsia="Arial" w:hAnsi="Arial"/>
                <w:sz w:val="14"/>
                <w:szCs w:val="14"/>
                <w:color w:val="auto"/>
              </w:rPr>
              <w:t>Total</w:t>
            </w:r>
          </w:p>
        </w:tc>
      </w:tr>
      <w:tr>
        <w:trPr>
          <w:trHeight w:val="80"/>
        </w:trPr>
        <w:tc>
          <w:tcPr>
            <w:tcW w:w="478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50"/>
        </w:trPr>
        <w:tc>
          <w:tcPr>
            <w:tcW w:w="4780" w:type="dxa"/>
            <w:vAlign w:val="bottom"/>
          </w:tcPr>
          <w:p>
            <w:pPr>
              <w:spacing w:after="0"/>
              <w:rPr>
                <w:sz w:val="13"/>
                <w:szCs w:val="13"/>
                <w:color w:val="auto"/>
              </w:rPr>
            </w:pPr>
          </w:p>
        </w:tc>
        <w:tc>
          <w:tcPr>
            <w:tcW w:w="1080" w:type="dxa"/>
            <w:vAlign w:val="bottom"/>
          </w:tcPr>
          <w:p>
            <w:pPr>
              <w:jc w:val="right"/>
              <w:ind w:right="108"/>
              <w:spacing w:after="0" w:line="151" w:lineRule="exact"/>
              <w:rPr>
                <w:sz w:val="20"/>
                <w:szCs w:val="20"/>
                <w:color w:val="auto"/>
              </w:rPr>
            </w:pPr>
            <w:r>
              <w:rPr>
                <w:rFonts w:ascii="Arial" w:cs="Arial" w:eastAsia="Arial" w:hAnsi="Arial"/>
                <w:sz w:val="14"/>
                <w:szCs w:val="14"/>
                <w:color w:val="auto"/>
              </w:rPr>
              <w:t>Without</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2"/>
          </w:tcPr>
          <w:p>
            <w:pPr>
              <w:ind w:left="520"/>
              <w:spacing w:after="0" w:line="151" w:lineRule="exact"/>
              <w:rPr>
                <w:sz w:val="20"/>
                <w:szCs w:val="20"/>
                <w:color w:val="auto"/>
              </w:rPr>
            </w:pPr>
            <w:r>
              <w:rPr>
                <w:rFonts w:ascii="Arial" w:cs="Arial" w:eastAsia="Arial" w:hAnsi="Arial"/>
                <w:sz w:val="14"/>
                <w:szCs w:val="14"/>
                <w:color w:val="auto"/>
              </w:rPr>
              <w:t>With</w:t>
            </w:r>
          </w:p>
        </w:tc>
        <w:tc>
          <w:tcPr>
            <w:tcW w:w="1240" w:type="dxa"/>
            <w:vAlign w:val="bottom"/>
          </w:tcPr>
          <w:p>
            <w:pPr>
              <w:jc w:val="right"/>
              <w:ind w:right="328"/>
              <w:spacing w:after="0" w:line="151" w:lineRule="exact"/>
              <w:rPr>
                <w:sz w:val="20"/>
                <w:szCs w:val="20"/>
                <w:color w:val="auto"/>
              </w:rPr>
            </w:pPr>
            <w:r>
              <w:rPr>
                <w:rFonts w:ascii="Arial" w:cs="Arial" w:eastAsia="Arial" w:hAnsi="Arial"/>
                <w:sz w:val="14"/>
                <w:szCs w:val="14"/>
                <w:color w:val="auto"/>
              </w:rPr>
              <w:t>Without</w:t>
            </w:r>
          </w:p>
        </w:tc>
        <w:tc>
          <w:tcPr>
            <w:tcW w:w="340" w:type="dxa"/>
            <w:vAlign w:val="bottom"/>
          </w:tcPr>
          <w:p>
            <w:pPr>
              <w:spacing w:after="0"/>
              <w:rPr>
                <w:sz w:val="13"/>
                <w:szCs w:val="13"/>
                <w:color w:val="auto"/>
              </w:rPr>
            </w:pPr>
          </w:p>
        </w:tc>
        <w:tc>
          <w:tcPr>
            <w:tcW w:w="1360" w:type="dxa"/>
            <w:vAlign w:val="bottom"/>
          </w:tcPr>
          <w:p>
            <w:pPr>
              <w:jc w:val="right"/>
              <w:ind w:right="488"/>
              <w:spacing w:after="0" w:line="151" w:lineRule="exact"/>
              <w:rPr>
                <w:sz w:val="20"/>
                <w:szCs w:val="20"/>
                <w:color w:val="auto"/>
              </w:rPr>
            </w:pPr>
            <w:r>
              <w:rPr>
                <w:rFonts w:ascii="Arial" w:cs="Arial" w:eastAsia="Arial" w:hAnsi="Arial"/>
                <w:sz w:val="14"/>
                <w:szCs w:val="14"/>
                <w:color w:val="auto"/>
              </w:rPr>
              <w:t>With</w:t>
            </w:r>
          </w:p>
        </w:tc>
      </w:tr>
      <w:tr>
        <w:trPr>
          <w:trHeight w:val="188"/>
        </w:trPr>
        <w:tc>
          <w:tcPr>
            <w:tcW w:w="47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Option</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2"/>
          </w:tcPr>
          <w:p>
            <w:pPr>
              <w:ind w:left="480"/>
              <w:spacing w:after="0"/>
              <w:rPr>
                <w:sz w:val="20"/>
                <w:szCs w:val="20"/>
                <w:color w:val="auto"/>
              </w:rPr>
            </w:pPr>
            <w:r>
              <w:rPr>
                <w:rFonts w:ascii="Arial" w:cs="Arial" w:eastAsia="Arial" w:hAnsi="Arial"/>
                <w:sz w:val="14"/>
                <w:szCs w:val="14"/>
                <w:color w:val="auto"/>
              </w:rPr>
              <w:t>Option</w:t>
            </w:r>
          </w:p>
        </w:tc>
        <w:tc>
          <w:tcPr>
            <w:tcW w:w="1240" w:type="dxa"/>
            <w:vAlign w:val="bottom"/>
          </w:tcPr>
          <w:p>
            <w:pPr>
              <w:jc w:val="right"/>
              <w:ind w:right="348"/>
              <w:spacing w:after="0"/>
              <w:rPr>
                <w:sz w:val="20"/>
                <w:szCs w:val="20"/>
                <w:color w:val="auto"/>
              </w:rPr>
            </w:pPr>
            <w:r>
              <w:rPr>
                <w:rFonts w:ascii="Arial" w:cs="Arial" w:eastAsia="Arial" w:hAnsi="Arial"/>
                <w:sz w:val="14"/>
                <w:szCs w:val="14"/>
                <w:color w:val="auto"/>
              </w:rPr>
              <w:t>Option</w:t>
            </w:r>
          </w:p>
        </w:tc>
        <w:tc>
          <w:tcPr>
            <w:tcW w:w="340" w:type="dxa"/>
            <w:vAlign w:val="bottom"/>
          </w:tcPr>
          <w:p>
            <w:pPr>
              <w:spacing w:after="0"/>
              <w:rPr>
                <w:sz w:val="16"/>
                <w:szCs w:val="16"/>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color w:val="auto"/>
              </w:rPr>
              <w:t>Option</w:t>
            </w:r>
          </w:p>
        </w:tc>
      </w:tr>
      <w:tr>
        <w:trPr>
          <w:trHeight w:val="143"/>
        </w:trPr>
        <w:tc>
          <w:tcPr>
            <w:tcW w:w="4780" w:type="dxa"/>
            <w:vAlign w:val="bottom"/>
          </w:tcPr>
          <w:p>
            <w:pPr>
              <w:spacing w:after="0" w:line="143" w:lineRule="exact"/>
              <w:rPr>
                <w:sz w:val="20"/>
                <w:szCs w:val="20"/>
                <w:color w:val="auto"/>
              </w:rPr>
            </w:pPr>
            <w:r>
              <w:rPr>
                <w:rFonts w:ascii="Arial" w:cs="Arial" w:eastAsia="Arial" w:hAnsi="Arial"/>
                <w:sz w:val="14"/>
                <w:szCs w:val="14"/>
                <w:color w:val="auto"/>
              </w:rPr>
              <w:t>Underwriting Discounts and Commissions</w:t>
            </w: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r>
      <w:tr>
        <w:trPr>
          <w:trHeight w:val="182"/>
        </w:trPr>
        <w:tc>
          <w:tcPr>
            <w:tcW w:w="4780" w:type="dxa"/>
            <w:vAlign w:val="bottom"/>
          </w:tcPr>
          <w:p>
            <w:pPr>
              <w:ind w:left="60"/>
              <w:spacing w:after="0"/>
              <w:rPr>
                <w:sz w:val="20"/>
                <w:szCs w:val="20"/>
                <w:color w:val="auto"/>
              </w:rPr>
            </w:pPr>
            <w:r>
              <w:rPr>
                <w:rFonts w:ascii="Arial" w:cs="Arial" w:eastAsia="Arial" w:hAnsi="Arial"/>
                <w:sz w:val="14"/>
                <w:szCs w:val="14"/>
                <w:color w:val="auto"/>
              </w:rPr>
              <w:t>Paid by us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2000" w:type="dxa"/>
            <w:vAlign w:val="bottom"/>
            <w:gridSpan w:val="3"/>
          </w:tcPr>
          <w:p>
            <w:pPr>
              <w:jc w:val="right"/>
              <w:ind w:right="11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188"/>
              <w:spacing w:after="0"/>
              <w:rPr>
                <w:sz w:val="20"/>
                <w:szCs w:val="20"/>
                <w:color w:val="auto"/>
              </w:rPr>
            </w:pPr>
            <w:r>
              <w:rPr>
                <w:rFonts w:ascii="Arial" w:cs="Arial" w:eastAsia="Arial" w:hAnsi="Arial"/>
                <w:sz w:val="14"/>
                <w:szCs w:val="14"/>
                <w:color w:val="auto"/>
              </w:rPr>
              <w:t>$</w:t>
            </w:r>
          </w:p>
        </w:tc>
      </w:tr>
      <w:tr>
        <w:trPr>
          <w:trHeight w:val="270"/>
        </w:trPr>
        <w:tc>
          <w:tcPr>
            <w:tcW w:w="4780" w:type="dxa"/>
            <w:vAlign w:val="bottom"/>
          </w:tcPr>
          <w:p>
            <w:pPr>
              <w:spacing w:after="0"/>
              <w:rPr>
                <w:sz w:val="20"/>
                <w:szCs w:val="20"/>
                <w:color w:val="auto"/>
              </w:rPr>
            </w:pPr>
            <w:r>
              <w:rPr>
                <w:rFonts w:ascii="Arial" w:cs="Arial" w:eastAsia="Arial" w:hAnsi="Arial"/>
                <w:sz w:val="14"/>
                <w:szCs w:val="14"/>
                <w:color w:val="auto"/>
              </w:rPr>
              <w:t>Expenses payable by us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2000" w:type="dxa"/>
            <w:vAlign w:val="bottom"/>
            <w:gridSpan w:val="3"/>
          </w:tcPr>
          <w:p>
            <w:pPr>
              <w:jc w:val="right"/>
              <w:ind w:right="118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188"/>
              <w:spacing w:after="0"/>
              <w:rPr>
                <w:sz w:val="20"/>
                <w:szCs w:val="20"/>
                <w:color w:val="auto"/>
              </w:rPr>
            </w:pPr>
            <w:r>
              <w:rPr>
                <w:rFonts w:ascii="Arial" w:cs="Arial" w:eastAsia="Arial" w:hAnsi="Arial"/>
                <w:sz w:val="14"/>
                <w:szCs w:val="14"/>
                <w:color w:val="auto"/>
              </w:rPr>
              <w:t>$</w:t>
            </w:r>
          </w:p>
        </w:tc>
      </w:tr>
    </w:tbl>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estimate that our out of pocket expenses for this offering will be approximately $0.5 million. We have also agreed to reimburse the underwriters for certain of their expenses of up to $ as set forth in the underwriting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representative has informed us that it does not expect sales to accounts over which the underwriters have discretionary authority to exceed 5% of the shares of common stock being offered.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agreed that, subject to certain exceptions,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our officers and directors and DB Holdings have agreed that, subject to certain exceptions,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8"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in cash or otherwise, or publicly disclose the intention to make any offer, sale, pledge or disposition, or to enter into any transaction, swap, hedge or other arrangement, without, in each case, the prior written consent of Credit Suisse Securities (USA) LLC for a period of 90 days, or 60 days with respect to DB Holdings,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Credit Suisse Securities (USA) LLC, in its sole discretion, may release the common stock and other securities subject to the lock-up agreements described above in whole or in part at any time. When determining whether or not to release the common stock and other securities from lock-up agreements, Credit Suisse Securities (USA) LLC will consider, among other factors, the holder’s reasons for requesting the release and the number of shares of common stock or other securities for which the release is being requested.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“FANG.”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commercial banking and investment banking services for us and for our affiliates in the ordinary course of business for which they have received and would receive customary compensation.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investments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2"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28"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5"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9"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such state being referred to herein as a Relevant Member State), each underwriter has represented and agreed that with effect from and including the date on which the Prospectus Directive is implemented in that Relevant Member State (each such date being referred to herein as a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178" w:lineRule="exact"/>
        <w:rPr>
          <w:sz w:val="20"/>
          <w:szCs w:val="20"/>
          <w:color w:val="auto"/>
        </w:rPr>
      </w:pPr>
    </w:p>
    <w:p>
      <w:pPr>
        <w:ind w:firstLine="656"/>
        <w:spacing w:after="0" w:line="277" w:lineRule="auto"/>
        <w:tabs>
          <w:tab w:leader="none" w:pos="10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firstLine="656"/>
        <w:spacing w:after="0" w:line="308" w:lineRule="auto"/>
        <w:tabs>
          <w:tab w:leader="none" w:pos="10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right="20" w:firstLine="656"/>
        <w:spacing w:after="0" w:line="277" w:lineRule="auto"/>
        <w:tabs>
          <w:tab w:leader="none" w:pos="10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any other circumstances which do not require the publication by the Company of a prospectus pursuant to Article 3 of the Prospectus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Directive.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jc w:val="both"/>
        <w:ind w:firstLine="656"/>
        <w:spacing w:after="0" w:line="286" w:lineRule="auto"/>
        <w:tabs>
          <w:tab w:leader="none" w:pos="10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Company; and</w:t>
      </w:r>
    </w:p>
    <w:p>
      <w:pPr>
        <w:spacing w:after="0" w:line="165" w:lineRule="exact"/>
        <w:rPr>
          <w:rFonts w:ascii="Arial" w:cs="Arial" w:eastAsia="Arial" w:hAnsi="Arial"/>
          <w:sz w:val="17"/>
          <w:szCs w:val="17"/>
          <w:color w:val="auto"/>
        </w:rPr>
      </w:pPr>
    </w:p>
    <w:p>
      <w:pPr>
        <w:ind w:firstLine="656"/>
        <w:spacing w:after="0" w:line="277" w:lineRule="auto"/>
        <w:tabs>
          <w:tab w:leader="none" w:pos="10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of common stock that are offered hereby by us will be passed upon by Akin Gump Strauss Hauer &amp; Feld LLP. The underwriters have been represented by Latham &amp; Watkins LLP, Houston, Texas.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audited financial statements incorporated by reference or included in this prospectus and elsewhere in the registration statement have been so incorporated by reference or included in reliance upon the reports of Grant Thornton LLP, independent registered public accountants, upon the authority of said firm as experts in accounting and auditing.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Information referenced in this prospectus regarding our estimated quantities of oil and gas reserves and the discounted present value of future net cash flows therefrom is based upon estimates of such reserves and present values prepared by Ryder Scott Company L.P. as of December 31, 2012 and 2011 and by Pinnacle Energy Services, LLC as of December 31, 2010, each an independent petroleum engineering firm.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covering the securities offered by this prospectus, which constitutes a part of that registration statement. Items included in the registration statement as Part II are omitted from this prospectus in accordance with the rules and regulations of the SEC. For further information about us and the common stock offered by this prospectus, reference is made to the registration statement and the exhibits filed with the registration statement. Statements contained in this prospectus and any prospectus supplement as to the contents of any contract or other document referred to are qualified by reference to each such contract or document filed as part of the registration statement. You may read any materials we file with the SEC free of charge at the SEC’s Public Reference Room at 100 F Street, N.E., Washington, D.C. 20549. Copies of all or any part of these documents may be obtained from such office upon the payment of the fees prescribed by the SEC. The public may obtain information on the operation of the public reference room by calling the SEC at 1-800-SEC-0330. The SEC maintains an Internet site that contains reports, proxy and information statements and other information regarding registrants that file electronically with the SEC. The address of the site is www.sec.gov. The registration statement, including all exhibits thereto and amendments thereof, has been filed electronically with the SEC.</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the information and periodic reporting requirements of the Exchange Act, and we will file periodic reports, proxy statements and other information with the SEC. These periodic reports, proxy statements and other information are available for inspection and copying at the public reference room and website of the SEC referred to above. We maintain a website at http://www.diamondbackenergy.com.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w:t>
      </w:r>
    </w:p>
    <w:p>
      <w:pPr>
        <w:spacing w:after="0" w:line="62"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2012, filed with the SEC on March 1, 2013;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Annual Report on Form 10-K/A for the year ended December 31, 2012, filed with the SEC on April 10, 2013.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documents incorporated by reference, including any exhibits to such documents. You should direct any requests for documents to Teresa Dick, Chief Financial Officer, Diamondback Energy, Inc., 14301 Caliber Drive, Suite 300, Oklahoma City, Oklahoma; telephone: (405) 463-6900.</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3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prospectus.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3-D seismic</w:t>
      </w:r>
      <w:r>
        <w:rPr>
          <w:rFonts w:ascii="Arial" w:cs="Arial" w:eastAsia="Arial" w:hAnsi="Arial"/>
          <w:sz w:val="18"/>
          <w:szCs w:val="18"/>
          <w:color w:val="auto"/>
        </w:rPr>
        <w:t>. Geophysical data that depict the subsurface strata in three dimensions. 3-D seismic typically provides a more detailed and accurate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the subsurface strata than 2-D, or two-dimensional, seismic.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Basin-centered gas</w:t>
      </w:r>
      <w:r>
        <w:rPr>
          <w:rFonts w:ascii="Arial" w:cs="Arial" w:eastAsia="Arial" w:hAnsi="Arial"/>
          <w:sz w:val="18"/>
          <w:szCs w:val="18"/>
          <w:color w:val="auto"/>
        </w:rPr>
        <w:t>. A regional abnormally-pressured, gas-saturated accumulation in low-permeability reservoirs.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Stock tank barrel, or 42 U.S. gallons liquid volume, used in this prospectus in reference to crude oil or other liquid hydrocarbons.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Bbls/d</w:t>
      </w:r>
      <w:r>
        <w:rPr>
          <w:rFonts w:ascii="Arial" w:cs="Arial" w:eastAsia="Arial" w:hAnsi="Arial"/>
          <w:sz w:val="18"/>
          <w:szCs w:val="18"/>
          <w:color w:val="auto"/>
        </w:rPr>
        <w:t>. Bbls per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BOE</w:t>
      </w:r>
      <w:r>
        <w:rPr>
          <w:rFonts w:ascii="Arial" w:cs="Arial" w:eastAsia="Arial" w:hAnsi="Arial"/>
          <w:sz w:val="18"/>
          <w:szCs w:val="18"/>
          <w:color w:val="auto"/>
        </w:rPr>
        <w:t>. Barrels of oil equivalent, with six thousand cubic feet of natural gas being equivalent to one barrel of oil.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BOE/d</w:t>
      </w:r>
      <w:r>
        <w:rPr>
          <w:rFonts w:ascii="Arial" w:cs="Arial" w:eastAsia="Arial" w:hAnsi="Arial"/>
          <w:sz w:val="18"/>
          <w:szCs w:val="18"/>
          <w:color w:val="auto"/>
        </w:rPr>
        <w:t>. BOE per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Coalbed methane (CBM)</w:t>
      </w:r>
      <w:r>
        <w:rPr>
          <w:rFonts w:ascii="Arial" w:cs="Arial" w:eastAsia="Arial" w:hAnsi="Arial"/>
          <w:sz w:val="18"/>
          <w:szCs w:val="18"/>
          <w:color w:val="auto"/>
        </w:rPr>
        <w:t>. Natural gas formed as a byproduct of the coal formation process, which is trapped in coal seams and produced by non-traditional means.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natural gas or oil,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case of a dry hole, the reporting of abandonment to the appropriate agency.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Condensate</w:t>
      </w:r>
      <w:r>
        <w:rPr>
          <w:rFonts w:ascii="Arial" w:cs="Arial" w:eastAsia="Arial" w:hAnsi="Arial"/>
          <w:sz w:val="18"/>
          <w:szCs w:val="18"/>
          <w:color w:val="auto"/>
        </w:rPr>
        <w:t>. Liquid hydrocarbons associated with the production of a primarily natural gas reserve.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Developed acreage</w:t>
      </w:r>
      <w:r>
        <w:rPr>
          <w:rFonts w:ascii="Arial" w:cs="Arial" w:eastAsia="Arial" w:hAnsi="Arial"/>
          <w:sz w:val="18"/>
          <w:szCs w:val="18"/>
          <w:color w:val="auto"/>
        </w:rPr>
        <w:t>. The number of acres that are allocated or assignable to productive wells or wells capable of production.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natural gas or oil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Deviated well</w:t>
      </w:r>
      <w:r>
        <w:rPr>
          <w:rFonts w:ascii="Arial" w:cs="Arial" w:eastAsia="Arial" w:hAnsi="Arial"/>
          <w:sz w:val="18"/>
          <w:szCs w:val="18"/>
          <w:color w:val="auto"/>
        </w:rPr>
        <w:t>. A well purposely deviated from the vertical using controlled angles to reach an objective location other than directly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location.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expenses and taxes.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Exploratory well</w:t>
      </w:r>
      <w:r>
        <w:rPr>
          <w:rFonts w:ascii="Arial" w:cs="Arial" w:eastAsia="Arial" w:hAnsi="Arial"/>
          <w:sz w:val="18"/>
          <w:szCs w:val="18"/>
          <w:color w:val="auto"/>
        </w:rPr>
        <w:t>. A well drilled to find and produce natural gas or oil reserves not classified as proved, to find a new reservoir in a field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 to be productive of natural gas or oil in another reservoir or to extend a known reservoir.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either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and/or stratigraphic condition.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Finding and development costs</w:t>
      </w:r>
      <w:r>
        <w:rPr>
          <w:rFonts w:ascii="Arial" w:cs="Arial" w:eastAsia="Arial" w:hAnsi="Arial"/>
          <w:sz w:val="18"/>
          <w:szCs w:val="18"/>
          <w:color w:val="auto"/>
        </w:rPr>
        <w:t>. Capital costs incurred in the acquisition, exploitation and exploration of proved oil and natural gas reserves divided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proved reserve additions and revisions to proved reserves.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Fracturing</w:t>
      </w:r>
      <w:r>
        <w:rPr>
          <w:rFonts w:ascii="Arial" w:cs="Arial" w:eastAsia="Arial" w:hAnsi="Arial"/>
          <w:sz w:val="18"/>
          <w:szCs w:val="18"/>
          <w:color w:val="auto"/>
        </w:rPr>
        <w:t>. The process of creating and preserving a fracture or system of fractures in a reservoir rock typically by injecting a fluid under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 wellbore and into the targeted 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acres or gross wells</w:t>
      </w:r>
      <w:r>
        <w:rPr>
          <w:rFonts w:ascii="Arial" w:cs="Arial" w:eastAsia="Arial" w:hAnsi="Arial"/>
          <w:sz w:val="18"/>
          <w:szCs w:val="18"/>
          <w:color w:val="auto"/>
        </w:rPr>
        <w:t>. The total acres or wells, as the case may be, in which a working interest is owned.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 a specified interval.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MBbls</w:t>
      </w:r>
      <w:r>
        <w:rPr>
          <w:rFonts w:ascii="Arial" w:cs="Arial" w:eastAsia="Arial" w:hAnsi="Arial"/>
          <w:sz w:val="18"/>
          <w:szCs w:val="18"/>
          <w:color w:val="auto"/>
        </w:rPr>
        <w:t>. Thousand barrels of crude oil or other liquid hydrocarbons.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One thousand barrels of crude oil equivalent, determined using a ratio of six Mcf of natural gas to one Bbl of crude oil, condensate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liquids.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Thousand cubic feet of natural gas.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Mcf/d</w:t>
      </w:r>
      <w:r>
        <w:rPr>
          <w:rFonts w:ascii="Arial" w:cs="Arial" w:eastAsia="Arial" w:hAnsi="Arial"/>
          <w:sz w:val="18"/>
          <w:szCs w:val="18"/>
          <w:color w:val="auto"/>
        </w:rPr>
        <w:t>. Mcf per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Million British Thermal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Million cubic feet of natural gas.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acres or net wells</w:t>
      </w:r>
      <w:r>
        <w:rPr>
          <w:rFonts w:ascii="Arial" w:cs="Arial" w:eastAsia="Arial" w:hAnsi="Arial"/>
          <w:sz w:val="18"/>
          <w:szCs w:val="18"/>
          <w:color w:val="auto"/>
        </w:rPr>
        <w:t>. The sum of the fractional working interest owned in gross acres or gross wells, as the case may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Net revenue interest</w:t>
      </w:r>
      <w:r>
        <w:rPr>
          <w:rFonts w:ascii="Arial" w:cs="Arial" w:eastAsia="Arial" w:hAnsi="Arial"/>
          <w:sz w:val="17"/>
          <w:szCs w:val="17"/>
          <w:color w:val="auto"/>
        </w:rPr>
        <w:t>. An owner’s interest in the revenues of a well after deducting proceeds allocated to royalty and overriding interests.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PDP</w:t>
      </w:r>
      <w:r>
        <w:rPr>
          <w:rFonts w:ascii="Arial" w:cs="Arial" w:eastAsia="Arial" w:hAnsi="Arial"/>
          <w:sz w:val="18"/>
          <w:szCs w:val="18"/>
          <w:color w:val="auto"/>
        </w:rPr>
        <w:t>. Proved developed producing.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Play</w:t>
      </w:r>
      <w:r>
        <w:rPr>
          <w:rFonts w:ascii="Arial" w:cs="Arial" w:eastAsia="Arial" w:hAnsi="Arial"/>
          <w:sz w:val="18"/>
          <w:szCs w:val="18"/>
          <w:color w:val="auto"/>
        </w:rPr>
        <w:t>. A set of discovered or prospective oil and/or natural gas accumulations sharing similar geologic, geographic and temporal properties,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 rock, reservoir structure, timing, trapping mechanism and hydrocarbon type.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Plugging and abandonment</w:t>
      </w:r>
      <w:r>
        <w:rPr>
          <w:rFonts w:ascii="Arial" w:cs="Arial" w:eastAsia="Arial" w:hAnsi="Arial"/>
          <w:sz w:val="18"/>
          <w:szCs w:val="18"/>
          <w:color w:val="auto"/>
        </w:rPr>
        <w:t>. Refers to the sealing off of fluids in the strata penetrated by a well so that the fluids from one stratum will not escape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another or to the surface. Regulations of all states require plugging of abandoned wells.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PUD</w:t>
      </w:r>
      <w:r>
        <w:rPr>
          <w:rFonts w:ascii="Arial" w:cs="Arial" w:eastAsia="Arial" w:hAnsi="Arial"/>
          <w:sz w:val="18"/>
          <w:szCs w:val="18"/>
          <w:color w:val="auto"/>
        </w:rPr>
        <w:t>. Proved undeveloped.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Prospect</w:t>
      </w:r>
      <w:r>
        <w:rPr>
          <w:rFonts w:ascii="Arial" w:cs="Arial" w:eastAsia="Arial" w:hAnsi="Arial"/>
          <w:sz w:val="18"/>
          <w:szCs w:val="18"/>
          <w:color w:val="auto"/>
        </w:rPr>
        <w:t>. A specific geographic area which, based on supporting geological, geophysical or other data and also preliminary economic analysis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anticipated prices and costs, is deemed to have potential for the discovery of commercial hydrocarbons.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Proved developed reserves</w:t>
      </w:r>
      <w:r>
        <w:rPr>
          <w:rFonts w:ascii="Arial" w:cs="Arial" w:eastAsia="Arial" w:hAnsi="Arial"/>
          <w:sz w:val="16"/>
          <w:szCs w:val="16"/>
          <w:color w:val="auto"/>
        </w:rPr>
        <w:t>. Reserves that can be expected to be recovered through existing wells with existing equipment and operating methods.</w:t>
      </w:r>
    </w:p>
    <w:p>
      <w:pPr>
        <w:spacing w:after="0" w:line="24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b w:val="1"/>
          <w:bCs w:val="1"/>
          <w:i w:val="1"/>
          <w:iCs w:val="1"/>
          <w:color w:val="auto"/>
        </w:rPr>
        <w:t>Proved reserves</w:t>
      </w:r>
      <w:r>
        <w:rPr>
          <w:rFonts w:ascii="Arial" w:cs="Arial" w:eastAsia="Arial" w:hAnsi="Arial"/>
          <w:sz w:val="17"/>
          <w:szCs w:val="17"/>
          <w:color w:val="auto"/>
        </w:rPr>
        <w:t>. The estimated quantities of oil, natural gas and natural gas liquids which geological and engineering data demonstrate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reasonable certainty to be commercially recoverable in future years from known reservoirs under existing economic and operating conditions.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relatively major expenditure is required for recompletion.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 attempt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establish or increase existing production.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natural gas and/or oil that is confined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impermeable rock or water barriers and is separate from other reservoirs.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Stratigraphic play</w:t>
      </w:r>
      <w:r>
        <w:rPr>
          <w:rFonts w:ascii="Arial" w:cs="Arial" w:eastAsia="Arial" w:hAnsi="Arial"/>
          <w:sz w:val="18"/>
          <w:szCs w:val="18"/>
          <w:color w:val="auto"/>
        </w:rPr>
        <w:t>. An oil or natural gas formation contained within an area created by permeability and porosity changes characteristic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alternating rock layer that result from the sedimentation process.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Structural play</w:t>
      </w:r>
      <w:r>
        <w:rPr>
          <w:rFonts w:ascii="Arial" w:cs="Arial" w:eastAsia="Arial" w:hAnsi="Arial"/>
          <w:sz w:val="18"/>
          <w:szCs w:val="18"/>
          <w:color w:val="auto"/>
        </w:rPr>
        <w:t>. An oil or natural gas formation contained within an area created by earth movements that deform or rupture (such as folding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faulting) rock strata.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Tight formation</w:t>
      </w:r>
      <w:r>
        <w:rPr>
          <w:rFonts w:ascii="Arial" w:cs="Arial" w:eastAsia="Arial" w:hAnsi="Arial"/>
          <w:sz w:val="18"/>
          <w:szCs w:val="18"/>
          <w:color w:val="auto"/>
        </w:rPr>
        <w:t>. A formation with low permeability that produces natural gas with very low flow rates for long periods of time.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quantities of oil and natural gas regardless of whether such acreage contains proved reserves.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of production and requires the owner to pay a share of the costs of drilling and production operations.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The repair or stimulation of an existing production well for the purpose of restoring, prolonging or enhancing the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hydrocarbons.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10795</wp:posOffset>
            </wp:positionV>
            <wp:extent cx="1844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Don P. Griffin, P.E. TBPE</w:t>
      </w:r>
    </w:p>
    <w:p>
      <w:pPr>
        <w:jc w:val="center"/>
        <w:spacing w:after="0"/>
        <w:rPr>
          <w:sz w:val="20"/>
          <w:szCs w:val="20"/>
          <w:color w:val="auto"/>
        </w:rPr>
      </w:pPr>
      <w:r>
        <w:rPr>
          <w:rFonts w:ascii="Arial" w:cs="Arial" w:eastAsia="Arial" w:hAnsi="Arial"/>
          <w:sz w:val="20"/>
          <w:szCs w:val="20"/>
          <w:color w:val="auto"/>
        </w:rPr>
        <w:t>License No. 64150</w:t>
      </w:r>
    </w:p>
    <w:p>
      <w:pPr>
        <w:jc w:val="center"/>
        <w:spacing w:after="0"/>
        <w:rPr>
          <w:sz w:val="20"/>
          <w:szCs w:val="20"/>
          <w:color w:val="auto"/>
        </w:rPr>
      </w:pPr>
      <w:r>
        <w:rPr>
          <w:rFonts w:ascii="Arial" w:cs="Arial" w:eastAsia="Arial" w:hAnsi="Arial"/>
          <w:sz w:val="20"/>
          <w:szCs w:val="20"/>
          <w:color w:val="auto"/>
        </w:rPr>
        <w:t>Senior Vice President</w:t>
      </w:r>
    </w:p>
    <w:p>
      <w:pPr>
        <w:spacing w:after="0" w:line="205"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TBPE Firm License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January 16, 2013</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500 West Texas, Suite 1210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Midland, Texas 79701</w:t>
      </w: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At your request, Ryder Scott Company, L.P. (Ryder Scott) has prepared an estimate of the proved reserves, future production, and income attributable to certain leasehold interests of Diamondback Energy, Inc. (Diamond) as of December 31, 2012.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11, 2013 and presented herein, was prepared for public disclosure in Diamond’s filings made with the SEC in accordance with the disclosure requirements set forth in the SEC regulations.</w:t>
      </w:r>
    </w:p>
    <w:p>
      <w:pPr>
        <w:spacing w:after="0" w:line="207" w:lineRule="exact"/>
        <w:rPr>
          <w:sz w:val="20"/>
          <w:szCs w:val="20"/>
          <w:color w:val="auto"/>
        </w:rPr>
      </w:pPr>
    </w:p>
    <w:p>
      <w:pPr>
        <w:jc w:val="both"/>
        <w:ind w:left="80" w:firstLine="648"/>
        <w:spacing w:after="0" w:line="262"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of Diamond as of December 31, 2012.</w:t>
      </w:r>
    </w:p>
    <w:p>
      <w:pPr>
        <w:spacing w:after="0" w:line="1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results of this study are summarized below.</w:t>
      </w:r>
    </w:p>
    <w:p>
      <w:pPr>
        <w:spacing w:after="0" w:line="338"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SEC PARAMETERS</w:t>
      </w:r>
    </w:p>
    <w:p>
      <w:pPr>
        <w:spacing w:after="0" w:line="6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Estimated Net Reserves and Income</w:t>
      </w:r>
    </w:p>
    <w:p>
      <w:pPr>
        <w:jc w:val="center"/>
        <w:ind w:left="1120"/>
        <w:spacing w:after="0"/>
        <w:rPr>
          <w:sz w:val="20"/>
          <w:szCs w:val="20"/>
          <w:color w:val="auto"/>
        </w:rPr>
      </w:pPr>
      <w:r>
        <w:rPr>
          <w:rFonts w:ascii="Arial" w:cs="Arial" w:eastAsia="Arial" w:hAnsi="Arial"/>
          <w:sz w:val="18"/>
          <w:szCs w:val="18"/>
          <w:color w:val="auto"/>
        </w:rPr>
        <w:t>Data</w:t>
      </w:r>
    </w:p>
    <w:p>
      <w:pPr>
        <w:spacing w:after="0" w:line="63"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Certain Leasehold Interests of</w:t>
      </w:r>
    </w:p>
    <w:p>
      <w:pPr>
        <w:spacing w:after="0" w:line="41"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Diamondback Energy, Inc.</w:t>
      </w:r>
    </w:p>
    <w:p>
      <w:pPr>
        <w:spacing w:after="0" w:line="85"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1183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Proved</w:t>
            </w: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rPr>
              <w:t>Developed</w:t>
            </w:r>
          </w:p>
        </w:tc>
        <w:tc>
          <w:tcPr>
            <w:tcW w:w="94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64"/>
        </w:trPr>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Producing</w:t>
            </w:r>
          </w:p>
        </w:tc>
        <w:tc>
          <w:tcPr>
            <w:tcW w:w="2060" w:type="dxa"/>
            <w:vAlign w:val="bottom"/>
            <w:gridSpan w:val="4"/>
          </w:tcPr>
          <w:p>
            <w:pPr>
              <w:ind w:left="200"/>
              <w:spacing w:after="0"/>
              <w:rPr>
                <w:sz w:val="20"/>
                <w:szCs w:val="20"/>
                <w:color w:val="auto"/>
              </w:rPr>
            </w:pPr>
            <w:r>
              <w:rPr>
                <w:rFonts w:ascii="Arial" w:cs="Arial" w:eastAsia="Arial" w:hAnsi="Arial"/>
                <w:sz w:val="18"/>
                <w:szCs w:val="18"/>
                <w:color w:val="auto"/>
              </w:rPr>
              <w:t>Non-Producing</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Undeveloped</w:t>
            </w:r>
          </w:p>
        </w:tc>
        <w:tc>
          <w:tcPr>
            <w:tcW w:w="320" w:type="dxa"/>
            <w:vAlign w:val="bottom"/>
          </w:tcPr>
          <w:p>
            <w:pPr>
              <w:spacing w:after="0"/>
              <w:rPr>
                <w:sz w:val="22"/>
                <w:szCs w:val="22"/>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Proved</w:t>
            </w:r>
          </w:p>
        </w:tc>
      </w:tr>
      <w:tr>
        <w:trPr>
          <w:trHeight w:val="216"/>
        </w:trPr>
        <w:tc>
          <w:tcPr>
            <w:tcW w:w="332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Net Remaining Reserves</w:t>
            </w:r>
          </w:p>
        </w:tc>
        <w:tc>
          <w:tcPr>
            <w:tcW w:w="1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Oil/Condensate - MBbl</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6,839</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19,008</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r>
      <w:tr>
        <w:trPr>
          <w:trHeight w:val="263"/>
        </w:trPr>
        <w:tc>
          <w:tcPr>
            <w:tcW w:w="40" w:type="dxa"/>
            <w:vAlign w:val="bottom"/>
          </w:tcPr>
          <w:p>
            <w:pPr>
              <w:spacing w:after="0"/>
              <w:rPr>
                <w:sz w:val="22"/>
                <w:szCs w:val="22"/>
                <w:color w:val="auto"/>
              </w:rPr>
            </w:pPr>
          </w:p>
        </w:tc>
        <w:tc>
          <w:tcPr>
            <w:tcW w:w="3280" w:type="dxa"/>
            <w:vAlign w:val="bottom"/>
            <w:gridSpan w:val="3"/>
          </w:tcPr>
          <w:p>
            <w:pPr>
              <w:ind w:left="340"/>
              <w:spacing w:after="0"/>
              <w:rPr>
                <w:sz w:val="20"/>
                <w:szCs w:val="20"/>
                <w:color w:val="auto"/>
              </w:rPr>
            </w:pPr>
            <w:r>
              <w:rPr>
                <w:rFonts w:ascii="Arial" w:cs="Arial" w:eastAsia="Arial" w:hAnsi="Arial"/>
                <w:sz w:val="18"/>
                <w:szCs w:val="18"/>
                <w:color w:val="auto"/>
              </w:rPr>
              <w:t>Plant Products - MBbl</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2,917</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5,251</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8,251</w:t>
            </w:r>
          </w:p>
        </w:tc>
      </w:tr>
      <w:tr>
        <w:trPr>
          <w:trHeight w:val="277"/>
        </w:trPr>
        <w:tc>
          <w:tcPr>
            <w:tcW w:w="40" w:type="dxa"/>
            <w:vAlign w:val="bottom"/>
            <w:shd w:val="clear" w:color="auto" w:fill="CCEEFF"/>
          </w:tcPr>
          <w:p>
            <w:pPr>
              <w:spacing w:after="0"/>
              <w:rPr>
                <w:sz w:val="24"/>
                <w:szCs w:val="24"/>
                <w:color w:val="auto"/>
              </w:rPr>
            </w:pPr>
          </w:p>
        </w:tc>
        <w:tc>
          <w:tcPr>
            <w:tcW w:w="3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 MMCF</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12,526</w:t>
            </w: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21,705</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34,570</w:t>
            </w:r>
          </w:p>
        </w:tc>
      </w:tr>
      <w:tr>
        <w:trPr>
          <w:trHeight w:val="257"/>
        </w:trPr>
        <w:tc>
          <w:tcPr>
            <w:tcW w:w="40" w:type="dxa"/>
            <w:vAlign w:val="bottom"/>
          </w:tcPr>
          <w:p>
            <w:pPr>
              <w:spacing w:after="0"/>
              <w:rPr>
                <w:sz w:val="22"/>
                <w:szCs w:val="22"/>
                <w:color w:val="auto"/>
              </w:rPr>
            </w:pPr>
          </w:p>
        </w:tc>
        <w:tc>
          <w:tcPr>
            <w:tcW w:w="3280" w:type="dxa"/>
            <w:vAlign w:val="bottom"/>
            <w:gridSpan w:val="3"/>
          </w:tcPr>
          <w:p>
            <w:pPr>
              <w:ind w:left="340"/>
              <w:spacing w:after="0"/>
              <w:rPr>
                <w:sz w:val="20"/>
                <w:szCs w:val="20"/>
                <w:color w:val="auto"/>
              </w:rPr>
            </w:pPr>
            <w:r>
              <w:rPr>
                <w:rFonts w:ascii="Arial" w:cs="Arial" w:eastAsia="Arial" w:hAnsi="Arial"/>
                <w:sz w:val="18"/>
                <w:szCs w:val="18"/>
                <w:color w:val="auto"/>
              </w:rPr>
              <w:t>MBOE</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11,843</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27,877</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40,210</w:t>
            </w:r>
          </w:p>
        </w:tc>
      </w:tr>
      <w:tr>
        <w:trPr>
          <w:trHeight w:val="135"/>
        </w:trPr>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auto"/>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r>
      <w:tr>
        <w:trPr>
          <w:trHeight w:val="263"/>
        </w:trPr>
        <w:tc>
          <w:tcPr>
            <w:tcW w:w="3320" w:type="dxa"/>
            <w:vAlign w:val="bottom"/>
            <w:gridSpan w:val="4"/>
          </w:tcPr>
          <w:p>
            <w:pPr>
              <w:ind w:left="40"/>
              <w:spacing w:after="0"/>
              <w:rPr>
                <w:sz w:val="20"/>
                <w:szCs w:val="20"/>
                <w:color w:val="auto"/>
              </w:rPr>
            </w:pPr>
            <w:r>
              <w:rPr>
                <w:rFonts w:ascii="Arial" w:cs="Arial" w:eastAsia="Arial" w:hAnsi="Arial"/>
                <w:sz w:val="18"/>
                <w:szCs w:val="18"/>
                <w:color w:val="auto"/>
              </w:rPr>
              <w:t>Future Gross Revenue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$726,722</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$33,857</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$1,868,147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$2,628,726</w:t>
            </w:r>
          </w:p>
        </w:tc>
      </w:tr>
      <w:tr>
        <w:trPr>
          <w:trHeight w:val="270"/>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126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262,269</w:t>
            </w:r>
          </w:p>
        </w:tc>
        <w:tc>
          <w:tcPr>
            <w:tcW w:w="36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3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1,041,817</w:t>
            </w:r>
          </w:p>
        </w:tc>
        <w:tc>
          <w:tcPr>
            <w:tcW w:w="3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1,315,055</w:t>
            </w:r>
          </w:p>
        </w:tc>
      </w:tr>
      <w:tr>
        <w:trPr>
          <w:trHeight w:val="243"/>
        </w:trPr>
        <w:tc>
          <w:tcPr>
            <w:tcW w:w="3320" w:type="dxa"/>
            <w:vAlign w:val="bottom"/>
            <w:gridSpan w:val="4"/>
          </w:tcPr>
          <w:p>
            <w:pPr>
              <w:ind w:left="40"/>
              <w:spacing w:after="0"/>
              <w:rPr>
                <w:sz w:val="20"/>
                <w:szCs w:val="20"/>
                <w:color w:val="auto"/>
              </w:rPr>
            </w:pPr>
            <w:r>
              <w:rPr>
                <w:rFonts w:ascii="Arial" w:cs="Arial" w:eastAsia="Arial" w:hAnsi="Arial"/>
                <w:sz w:val="18"/>
                <w:szCs w:val="18"/>
                <w:color w:val="auto"/>
              </w:rPr>
              <w:t>Future Net Income (FNI)</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$464,453</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$22,888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$826,330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$1,313,671</w:t>
            </w:r>
          </w:p>
        </w:tc>
      </w:tr>
      <w:tr>
        <w:trPr>
          <w:trHeight w:val="135"/>
        </w:trPr>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70"/>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Discounted FNI @ 10%</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$255,062</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$492,762</w:t>
            </w:r>
          </w:p>
        </w:tc>
      </w:tr>
      <w:tr>
        <w:trPr>
          <w:trHeight w:val="368"/>
        </w:trPr>
        <w:tc>
          <w:tcPr>
            <w:tcW w:w="3320" w:type="dxa"/>
            <w:vAlign w:val="bottom"/>
            <w:gridSpan w:val="4"/>
          </w:tcPr>
          <w:p>
            <w:pPr>
              <w:ind w:left="40"/>
              <w:spacing w:after="0"/>
              <w:rPr>
                <w:sz w:val="20"/>
                <w:szCs w:val="20"/>
                <w:color w:val="auto"/>
              </w:rPr>
            </w:pPr>
            <w:r>
              <w:rPr>
                <w:rFonts w:ascii="Arial" w:cs="Arial" w:eastAsia="Arial" w:hAnsi="Arial"/>
                <w:sz w:val="16"/>
                <w:szCs w:val="16"/>
                <w:color w:val="auto"/>
              </w:rPr>
              <w:t>SUITE 600, 1015 4TH STREET, S.W.</w:t>
            </w:r>
          </w:p>
        </w:tc>
        <w:tc>
          <w:tcPr>
            <w:tcW w:w="3000" w:type="dxa"/>
            <w:vAlign w:val="bottom"/>
            <w:gridSpan w:val="3"/>
          </w:tcPr>
          <w:p>
            <w:pPr>
              <w:ind w:left="600"/>
              <w:spacing w:after="0"/>
              <w:rPr>
                <w:sz w:val="20"/>
                <w:szCs w:val="20"/>
                <w:color w:val="auto"/>
              </w:rPr>
            </w:pPr>
            <w:r>
              <w:rPr>
                <w:rFonts w:ascii="Arial" w:cs="Arial" w:eastAsia="Arial" w:hAnsi="Arial"/>
                <w:sz w:val="16"/>
                <w:szCs w:val="16"/>
                <w:color w:val="auto"/>
              </w:rPr>
              <w:t>CALGARY, ALBERTA T2R 1J4</w:t>
            </w:r>
          </w:p>
        </w:tc>
        <w:tc>
          <w:tcPr>
            <w:tcW w:w="660" w:type="dxa"/>
            <w:vAlign w:val="bottom"/>
          </w:tcPr>
          <w:p>
            <w:pPr>
              <w:spacing w:after="0"/>
              <w:rPr>
                <w:sz w:val="24"/>
                <w:szCs w:val="24"/>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6"/>
                <w:szCs w:val="16"/>
                <w:color w:val="auto"/>
              </w:rPr>
              <w:t>TEL (403) 262-2799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FAX (403) 262-2790</w:t>
            </w:r>
          </w:p>
        </w:tc>
      </w:tr>
      <w:tr>
        <w:trPr>
          <w:trHeight w:val="253"/>
        </w:trPr>
        <w:tc>
          <w:tcPr>
            <w:tcW w:w="33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621 17TH STREET, SUITE 1550</w:t>
            </w:r>
          </w:p>
        </w:tc>
        <w:tc>
          <w:tcPr>
            <w:tcW w:w="366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DENVER, COLORADO 80293-1501</w:t>
            </w:r>
          </w:p>
        </w:tc>
        <w:tc>
          <w:tcPr>
            <w:tcW w:w="2760" w:type="dxa"/>
            <w:vAlign w:val="bottom"/>
            <w:gridSpan w:val="4"/>
            <w:shd w:val="clear" w:color="auto" w:fill="CCEEFF"/>
          </w:tcPr>
          <w:p>
            <w:pPr>
              <w:jc w:val="right"/>
              <w:ind w:right="730"/>
              <w:spacing w:after="0"/>
              <w:rPr>
                <w:sz w:val="20"/>
                <w:szCs w:val="20"/>
                <w:color w:val="auto"/>
              </w:rPr>
            </w:pPr>
            <w:r>
              <w:rPr>
                <w:rFonts w:ascii="Arial" w:cs="Arial" w:eastAsia="Arial" w:hAnsi="Arial"/>
                <w:sz w:val="16"/>
                <w:szCs w:val="16"/>
                <w:color w:val="auto"/>
              </w:rPr>
              <w:t>TEL (303) 623-9147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FAX (303) 623-4258</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estimated reserves and future net income amounts presented in this report, as of December 31, 2012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w:t>
      </w:r>
    </w:p>
    <w:p>
      <w:pPr>
        <w:spacing w:after="0" w:line="222"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Liquid hydrocarbons are expressed in thousands of standard 42 gallon barrels (MBbl). All gas volumes are reported on an “as sold basis” expressed in millions of cubic feet (MMCF) at the official temperature and pressure bases of the areas in which the gas reserves are located. The net remaining reserves are also shown herein on an equivalent unit basis wherein natural gas is converted to oil equivalent using a factor of 6,000 cubic feet of natural gas per one barrel of oil equivalent. MBOE means thousands barrels of oil equivalent. In this report, the revenues, deductions, and income data are expressed as thousands of U.S. dollars (M$).</w:t>
      </w:r>
    </w:p>
    <w:p>
      <w:pPr>
        <w:spacing w:after="0" w:line="219" w:lineRule="exact"/>
        <w:rPr>
          <w:sz w:val="20"/>
          <w:szCs w:val="20"/>
          <w:color w:val="auto"/>
        </w:rPr>
      </w:pPr>
    </w:p>
    <w:p>
      <w:pPr>
        <w:jc w:val="both"/>
        <w:ind w:left="80" w:firstLine="648"/>
        <w:spacing w:after="0" w:line="237" w:lineRule="auto"/>
        <w:rPr>
          <w:sz w:val="20"/>
          <w:szCs w:val="20"/>
          <w:color w:val="auto"/>
        </w:rPr>
      </w:pPr>
      <w:r>
        <w:rPr>
          <w:rFonts w:ascii="Arial" w:cs="Arial" w:eastAsia="Arial" w:hAnsi="Arial"/>
          <w:sz w:val="18"/>
          <w:szCs w:val="18"/>
          <w:color w:val="auto"/>
        </w:rPr>
        <w:t>The estimates of the reserves, future production, and income attributable to properties in this report were prepared using the economic software package AriesTM System Petroleum Economic Evaluation Software, a copyrighted program of Halliburton. The program was used solely at the request of Diamond.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19"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The future gross revenue is after the deduction of production taxes. The deductions incorporate the normal direct costs of operating the wells, ad valorem taxes, recompletion costs and development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18" w:lineRule="exact"/>
        <w:rPr>
          <w:sz w:val="20"/>
          <w:szCs w:val="20"/>
          <w:color w:val="auto"/>
        </w:rPr>
      </w:pPr>
    </w:p>
    <w:p>
      <w:pPr>
        <w:jc w:val="both"/>
        <w:ind w:left="80" w:firstLine="648"/>
        <w:spacing w:after="0" w:line="262" w:lineRule="auto"/>
        <w:rPr>
          <w:sz w:val="20"/>
          <w:szCs w:val="20"/>
          <w:color w:val="auto"/>
        </w:rPr>
      </w:pPr>
      <w:r>
        <w:rPr>
          <w:rFonts w:ascii="Arial" w:cs="Arial" w:eastAsia="Arial" w:hAnsi="Arial"/>
          <w:sz w:val="18"/>
          <w:szCs w:val="18"/>
          <w:color w:val="auto"/>
        </w:rPr>
        <w:t>Liquid hydrocarbon reserves account for approximately 96.4 percent and gas reserves account for the remaining 3.6 percent of total future gross revenue from proved reserves.</w:t>
      </w:r>
    </w:p>
    <w:p>
      <w:pPr>
        <w:spacing w:after="0" w:line="210"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37" w:lineRule="exact"/>
        <w:rPr>
          <w:sz w:val="20"/>
          <w:szCs w:val="20"/>
          <w:color w:val="auto"/>
        </w:rPr>
      </w:pPr>
    </w:p>
    <w:tbl>
      <w:tblPr>
        <w:tblLayout w:type="fixed"/>
        <w:tblInd w:w="428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Discounted Future Net Income</w:t>
            </w:r>
          </w:p>
        </w:tc>
      </w:tr>
      <w:tr>
        <w:trPr>
          <w:trHeight w:val="277"/>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As of December 31, 2012 ($M)</w:t>
            </w:r>
          </w:p>
        </w:tc>
      </w:tr>
      <w:tr>
        <w:trPr>
          <w:trHeight w:val="257"/>
        </w:trPr>
        <w:tc>
          <w:tcPr>
            <w:tcW w:w="1380" w:type="dxa"/>
            <w:vAlign w:val="bottom"/>
          </w:tcPr>
          <w:p>
            <w:pPr>
              <w:jc w:val="center"/>
              <w:spacing w:after="0"/>
              <w:rPr>
                <w:sz w:val="20"/>
                <w:szCs w:val="20"/>
                <w:color w:val="auto"/>
              </w:rPr>
            </w:pPr>
            <w:r>
              <w:rPr>
                <w:rFonts w:ascii="Arial" w:cs="Arial" w:eastAsia="Arial" w:hAnsi="Arial"/>
                <w:sz w:val="18"/>
                <w:szCs w:val="18"/>
                <w:color w:val="auto"/>
                <w:w w:val="99"/>
              </w:rPr>
              <w:t>Discount Rate</w:t>
            </w: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0" w:type="dxa"/>
            <w:vAlign w:val="bottom"/>
            <w:gridSpan w:val="2"/>
          </w:tcPr>
          <w:p>
            <w:pPr>
              <w:jc w:val="center"/>
              <w:ind w:right="1100"/>
              <w:spacing w:after="0"/>
              <w:rPr>
                <w:sz w:val="20"/>
                <w:szCs w:val="20"/>
                <w:color w:val="auto"/>
              </w:rPr>
            </w:pPr>
            <w:r>
              <w:rPr>
                <w:rFonts w:ascii="Arial" w:cs="Arial" w:eastAsia="Arial" w:hAnsi="Arial"/>
                <w:sz w:val="18"/>
                <w:szCs w:val="18"/>
                <w:color w:val="auto"/>
                <w:w w:val="94"/>
              </w:rPr>
              <w:t>Total</w:t>
            </w:r>
          </w:p>
        </w:tc>
      </w:tr>
      <w:tr>
        <w:trPr>
          <w:trHeight w:val="277"/>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Percent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Proved</w:t>
            </w:r>
          </w:p>
        </w:tc>
        <w:tc>
          <w:tcPr>
            <w:tcW w:w="1100" w:type="dxa"/>
            <w:vAlign w:val="bottom"/>
          </w:tcPr>
          <w:p>
            <w:pPr>
              <w:spacing w:after="0"/>
              <w:rPr>
                <w:sz w:val="24"/>
                <w:szCs w:val="24"/>
                <w:color w:val="auto"/>
              </w:rPr>
            </w:pP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780" w:type="dxa"/>
            <w:vAlign w:val="bottom"/>
            <w:gridSpan w:val="3"/>
          </w:tcPr>
          <w:p>
            <w:pPr>
              <w:jc w:val="center"/>
              <w:ind w:left="1610"/>
              <w:spacing w:after="0"/>
              <w:rPr>
                <w:sz w:val="20"/>
                <w:szCs w:val="20"/>
                <w:color w:val="auto"/>
              </w:rPr>
            </w:pPr>
            <w:r>
              <w:rPr>
                <w:rFonts w:ascii="Arial" w:cs="Arial" w:eastAsia="Arial" w:hAnsi="Arial"/>
                <w:sz w:val="18"/>
                <w:szCs w:val="18"/>
                <w:color w:val="auto"/>
              </w:rPr>
              <w:t>$532,693</w:t>
            </w:r>
          </w:p>
        </w:tc>
        <w:tc>
          <w:tcPr>
            <w:tcW w:w="1100" w:type="dxa"/>
            <w:vAlign w:val="bottom"/>
          </w:tcPr>
          <w:p>
            <w:pPr>
              <w:spacing w:after="0"/>
              <w:rPr>
                <w:sz w:val="24"/>
                <w:szCs w:val="24"/>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2780" w:type="dxa"/>
            <w:vAlign w:val="bottom"/>
            <w:gridSpan w:val="3"/>
          </w:tcPr>
          <w:p>
            <w:pPr>
              <w:jc w:val="center"/>
              <w:ind w:left="1610"/>
              <w:spacing w:after="0"/>
              <w:rPr>
                <w:sz w:val="20"/>
                <w:szCs w:val="20"/>
                <w:color w:val="auto"/>
              </w:rPr>
            </w:pPr>
            <w:r>
              <w:rPr>
                <w:rFonts w:ascii="Arial" w:cs="Arial" w:eastAsia="Arial" w:hAnsi="Arial"/>
                <w:sz w:val="18"/>
                <w:szCs w:val="18"/>
                <w:color w:val="auto"/>
              </w:rPr>
              <w:t>$347,150</w:t>
            </w:r>
          </w:p>
        </w:tc>
        <w:tc>
          <w:tcPr>
            <w:tcW w:w="1100" w:type="dxa"/>
            <w:vAlign w:val="bottom"/>
          </w:tcPr>
          <w:p>
            <w:pPr>
              <w:spacing w:after="0"/>
              <w:rPr>
                <w:sz w:val="23"/>
                <w:szCs w:val="23"/>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780" w:type="dxa"/>
            <w:vAlign w:val="bottom"/>
            <w:gridSpan w:val="3"/>
          </w:tcPr>
          <w:p>
            <w:pPr>
              <w:jc w:val="center"/>
              <w:ind w:left="1610"/>
              <w:spacing w:after="0"/>
              <w:rPr>
                <w:sz w:val="20"/>
                <w:szCs w:val="20"/>
                <w:color w:val="auto"/>
              </w:rPr>
            </w:pPr>
            <w:r>
              <w:rPr>
                <w:rFonts w:ascii="Arial" w:cs="Arial" w:eastAsia="Arial" w:hAnsi="Arial"/>
                <w:sz w:val="18"/>
                <w:szCs w:val="18"/>
                <w:color w:val="auto"/>
              </w:rPr>
              <w:t>$256,603</w:t>
            </w:r>
          </w:p>
        </w:tc>
        <w:tc>
          <w:tcPr>
            <w:tcW w:w="1100" w:type="dxa"/>
            <w:vAlign w:val="bottom"/>
          </w:tcPr>
          <w:p>
            <w:pPr>
              <w:spacing w:after="0"/>
              <w:rPr>
                <w:sz w:val="23"/>
                <w:szCs w:val="23"/>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2780" w:type="dxa"/>
            <w:vAlign w:val="bottom"/>
            <w:gridSpan w:val="3"/>
          </w:tcPr>
          <w:p>
            <w:pPr>
              <w:jc w:val="center"/>
              <w:ind w:left="1610"/>
              <w:spacing w:after="0"/>
              <w:rPr>
                <w:sz w:val="20"/>
                <w:szCs w:val="20"/>
                <w:color w:val="auto"/>
              </w:rPr>
            </w:pPr>
            <w:r>
              <w:rPr>
                <w:rFonts w:ascii="Arial" w:cs="Arial" w:eastAsia="Arial" w:hAnsi="Arial"/>
                <w:sz w:val="18"/>
                <w:szCs w:val="18"/>
                <w:color w:val="auto"/>
              </w:rPr>
              <w:t>$195,986</w:t>
            </w:r>
          </w:p>
        </w:tc>
        <w:tc>
          <w:tcPr>
            <w:tcW w:w="1100" w:type="dxa"/>
            <w:vAlign w:val="bottom"/>
          </w:tcPr>
          <w:p>
            <w:pPr>
              <w:spacing w:after="0"/>
              <w:rPr>
                <w:sz w:val="23"/>
                <w:szCs w:val="23"/>
                <w:color w:val="auto"/>
              </w:rPr>
            </w:pPr>
          </w:p>
        </w:tc>
      </w:tr>
    </w:tbl>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shown above are presented for your information and should not be construed as our estimate of fair market value.</w:t>
      </w: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Reserves Included in This Report</w:t>
      </w:r>
    </w:p>
    <w:p>
      <w:pPr>
        <w:spacing w:after="0" w:line="261"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The proved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215" w:lineRule="exact"/>
        <w:rPr>
          <w:sz w:val="20"/>
          <w:szCs w:val="20"/>
          <w:color w:val="auto"/>
        </w:rPr>
      </w:pPr>
    </w:p>
    <w:p>
      <w:pPr>
        <w:jc w:val="both"/>
        <w:ind w:left="80" w:firstLine="648"/>
        <w:spacing w:after="0" w:line="262" w:lineRule="auto"/>
        <w:rPr>
          <w:sz w:val="20"/>
          <w:szCs w:val="20"/>
          <w:color w:val="auto"/>
        </w:rPr>
      </w:pPr>
      <w:r>
        <w:rPr>
          <w:rFonts w:ascii="Arial" w:cs="Arial" w:eastAsia="Arial" w:hAnsi="Arial"/>
          <w:sz w:val="18"/>
          <w:szCs w:val="18"/>
          <w:color w:val="auto"/>
        </w:rPr>
        <w:t>The various reserve status categories are defined under the attachment entitled “Petroleum Reserves Definitions” in this report. The proved developed non-producing reserves included herein consist of the shut-in and behind pipe categories.</w:t>
      </w:r>
    </w:p>
    <w:p>
      <w:pPr>
        <w:spacing w:after="0" w:line="210" w:lineRule="exact"/>
        <w:rPr>
          <w:sz w:val="20"/>
          <w:szCs w:val="20"/>
          <w:color w:val="auto"/>
        </w:rPr>
      </w:pPr>
    </w:p>
    <w:p>
      <w:pPr>
        <w:jc w:val="both"/>
        <w:ind w:left="80" w:right="20" w:firstLine="648"/>
        <w:spacing w:after="0" w:line="262"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210"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Diamond’s request, this report addresses the proved reserves attributable to the properties evaluated herein.</w:t>
      </w:r>
    </w:p>
    <w:p>
      <w:pPr>
        <w:spacing w:after="0" w:line="220"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If deterministic methods are used, the SEC has defined reasonable certainty for proved reserves as a “high degree of confidence that the quantities will be recovered.”</w:t>
      </w:r>
    </w:p>
    <w:p>
      <w:pPr>
        <w:spacing w:after="0" w:line="215"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21" w:lineRule="exact"/>
        <w:rPr>
          <w:sz w:val="20"/>
          <w:szCs w:val="20"/>
          <w:color w:val="auto"/>
        </w:rPr>
      </w:pPr>
    </w:p>
    <w:p>
      <w:pPr>
        <w:jc w:val="both"/>
        <w:ind w:left="80" w:right="20" w:firstLine="648"/>
        <w:spacing w:after="0" w:line="256" w:lineRule="auto"/>
        <w:rPr>
          <w:sz w:val="20"/>
          <w:szCs w:val="20"/>
          <w:color w:val="auto"/>
        </w:rPr>
      </w:pPr>
      <w:r>
        <w:rPr>
          <w:rFonts w:ascii="Arial" w:cs="Arial" w:eastAsia="Arial" w:hAnsi="Arial"/>
          <w:sz w:val="18"/>
          <w:szCs w:val="18"/>
          <w:color w:val="auto"/>
        </w:rPr>
        <w:t>Diamond’s operations may be subject to various levels of governmental controls and regulations. These controls and regulations may include, but may not be limited to, matters relating to land tenure and leasing, the legal rights to produce hydrocarbons, drilling and production practices,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52" w:lineRule="exact"/>
        <w:rPr>
          <w:sz w:val="20"/>
          <w:szCs w:val="20"/>
          <w:color w:val="auto"/>
        </w:rPr>
      </w:pPr>
    </w:p>
    <w:p>
      <w:pPr>
        <w:jc w:val="both"/>
        <w:ind w:left="80" w:right="20"/>
        <w:spacing w:after="0" w:line="256" w:lineRule="auto"/>
        <w:rPr>
          <w:sz w:val="20"/>
          <w:szCs w:val="20"/>
          <w:color w:val="auto"/>
        </w:rPr>
      </w:pPr>
      <w:r>
        <w:rPr>
          <w:rFonts w:ascii="Arial" w:cs="Arial" w:eastAsia="Arial" w:hAnsi="Arial"/>
          <w:sz w:val="18"/>
          <w:szCs w:val="18"/>
          <w:color w:val="auto"/>
        </w:rPr>
        <w:t>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15"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The estimates of reserves presented herein were based upon a detailed study of the properties in which Diamond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261"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8"/>
          <w:szCs w:val="18"/>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18"/>
          <w:szCs w:val="18"/>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25"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52"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The proved reserves for the properties included herein were estimated by performance methods, analogy, or a combination of both methods. Approximately 85 percent of the proved producing reserves attributable to producing wells were estimated by performance methods. These performance methods include, but may not be limited to, decline curve analysis, which utilized extrapolations of historical production and pressure data available through early December 2012 in those cases where such data were considered to be definitive. The data utilized in this analysis were furnished to Ryder Scott by Diamond and were considered sufficient for the purpose thereof. The remaining 15 percent of the proved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All proved developed non-producing and undeveloped reserves included herein were estimated by the analogy method</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20"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Diamond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 with respect to property interests owned, production and well tests from examined wells, normal direct costs of operating the wells or leases, other costs such as transportation and/or processing fees, ad valorem and production taxes, recompletion and development costs,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 We consider the factual data used in this report appropriate and sufficient for the purpose of preparing the estimates of reserves and future net revenues herein.</w:t>
      </w:r>
    </w:p>
    <w:p>
      <w:pPr>
        <w:spacing w:after="0" w:line="220"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3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261"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18"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19"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261"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19"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As noted above, Diamond furnished us with the average prices in effect on December 31, 2012. These initial SEC hydrocarbon prices were determined using the 12-month average first-day-of-the- 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19"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The product prices which were actually used to determine the future gross revenue for each property reflect adjustments to the benchmark prices for gravity, quality, local conditions, gathering and transportation fees and/or distance from market, referred to herein as “differentials.” The differentials used in the preparation of this report were furnished to us by Diamond and were accepted as factual data and reviewed by us for their reasonableness; however, we have not conducted an independent verification of the data used by Diamond to determine these differentials.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52"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by reserve category for the geographic area and presented in accordance with SEC disclosure requirements for each of the geographic areas included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Avg Proved</w:t>
            </w:r>
          </w:p>
        </w:tc>
      </w:tr>
      <w:tr>
        <w:trPr>
          <w:trHeight w:val="203"/>
        </w:trPr>
        <w:tc>
          <w:tcPr>
            <w:tcW w:w="1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Geographic</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Price</w:t>
            </w:r>
          </w:p>
        </w:tc>
        <w:tc>
          <w:tcPr>
            <w:tcW w:w="19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Avg Benchmark</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Realized</w:t>
            </w:r>
          </w:p>
        </w:tc>
      </w:tr>
      <w:tr>
        <w:trPr>
          <w:trHeight w:val="224"/>
        </w:trPr>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Area</w:t>
            </w:r>
          </w:p>
        </w:tc>
        <w:tc>
          <w:tcPr>
            <w:tcW w:w="3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rPr>
              <w:t>Reference</w:t>
            </w:r>
          </w:p>
        </w:tc>
        <w:tc>
          <w:tcPr>
            <w:tcW w:w="3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Prices</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Prices</w:t>
            </w: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North</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America</w:t>
            </w: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United</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Oil/Condensate</w:t>
            </w:r>
          </w:p>
        </w:tc>
        <w:tc>
          <w:tcPr>
            <w:tcW w:w="2100" w:type="dxa"/>
            <w:vAlign w:val="bottom"/>
            <w:gridSpan w:val="2"/>
          </w:tcPr>
          <w:p>
            <w:pPr>
              <w:ind w:left="840"/>
              <w:spacing w:after="0"/>
              <w:rPr>
                <w:sz w:val="20"/>
                <w:szCs w:val="20"/>
                <w:color w:val="auto"/>
              </w:rPr>
            </w:pPr>
            <w:r>
              <w:rPr>
                <w:rFonts w:ascii="Arial" w:cs="Arial" w:eastAsia="Arial" w:hAnsi="Arial"/>
                <w:sz w:val="18"/>
                <w:szCs w:val="18"/>
                <w:color w:val="auto"/>
              </w:rPr>
              <w:t>WTI</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9"/>
              </w:rPr>
              <w:t>$94.71/Bbl</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$88.13/Bbl</w:t>
            </w:r>
          </w:p>
        </w:tc>
      </w:tr>
      <w:tr>
        <w:trPr>
          <w:trHeight w:val="22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States</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gridSpan w:val="2"/>
          </w:tcPr>
          <w:p>
            <w:pPr>
              <w:ind w:left="580"/>
              <w:spacing w:after="0"/>
              <w:rPr>
                <w:sz w:val="20"/>
                <w:szCs w:val="20"/>
                <w:color w:val="auto"/>
              </w:rPr>
            </w:pPr>
            <w:r>
              <w:rPr>
                <w:rFonts w:ascii="Arial" w:cs="Arial" w:eastAsia="Arial" w:hAnsi="Arial"/>
                <w:sz w:val="18"/>
                <w:szCs w:val="18"/>
                <w:color w:val="auto"/>
              </w:rPr>
              <w:t>Cushing</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NGLs</w:t>
            </w:r>
          </w:p>
        </w:tc>
        <w:tc>
          <w:tcPr>
            <w:tcW w:w="21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8"/>
              </w:rPr>
              <w:t>Mt. Belvieu</w:t>
            </w:r>
          </w:p>
        </w:tc>
        <w:tc>
          <w:tcPr>
            <w:tcW w:w="19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$43.24/Bbl</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$43.88/Bbl</w:t>
            </w:r>
          </w:p>
        </w:tc>
      </w:tr>
      <w:tr>
        <w:trPr>
          <w:trHeight w:val="243"/>
        </w:trPr>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Gas</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Henry Hub</w:t>
            </w:r>
          </w:p>
        </w:tc>
        <w:tc>
          <w:tcPr>
            <w:tcW w:w="1920" w:type="dxa"/>
            <w:vAlign w:val="bottom"/>
            <w:gridSpan w:val="2"/>
          </w:tcPr>
          <w:p>
            <w:pPr>
              <w:ind w:left="320"/>
              <w:spacing w:after="0"/>
              <w:rPr>
                <w:sz w:val="20"/>
                <w:szCs w:val="20"/>
                <w:color w:val="auto"/>
              </w:rPr>
            </w:pPr>
            <w:r>
              <w:rPr>
                <w:rFonts w:ascii="Arial" w:cs="Arial" w:eastAsia="Arial" w:hAnsi="Arial"/>
                <w:sz w:val="18"/>
                <w:szCs w:val="18"/>
                <w:color w:val="auto"/>
              </w:rPr>
              <w:t>$2.76/MMBTU</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$2.86/MCF</w:t>
            </w:r>
          </w:p>
        </w:tc>
      </w:tr>
    </w:tbl>
    <w:p>
      <w:pPr>
        <w:spacing w:after="0" w:line="200" w:lineRule="exact"/>
        <w:rPr>
          <w:sz w:val="20"/>
          <w:szCs w:val="20"/>
          <w:color w:val="auto"/>
        </w:rPr>
      </w:pPr>
    </w:p>
    <w:p>
      <w:pPr>
        <w:spacing w:after="0" w:line="272" w:lineRule="exact"/>
        <w:rPr>
          <w:sz w:val="20"/>
          <w:szCs w:val="20"/>
          <w:color w:val="auto"/>
        </w:rPr>
      </w:pPr>
    </w:p>
    <w:p>
      <w:pPr>
        <w:jc w:val="both"/>
        <w:ind w:left="80" w:right="20" w:firstLine="648"/>
        <w:spacing w:after="0" w:line="262" w:lineRule="auto"/>
        <w:rPr>
          <w:sz w:val="20"/>
          <w:szCs w:val="20"/>
          <w:color w:val="auto"/>
        </w:rPr>
      </w:pPr>
      <w:r>
        <w:rPr>
          <w:rFonts w:ascii="Arial" w:cs="Arial" w:eastAsia="Arial" w:hAnsi="Arial"/>
          <w:sz w:val="18"/>
          <w:szCs w:val="18"/>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Costs</w:t>
      </w:r>
    </w:p>
    <w:p>
      <w:pPr>
        <w:spacing w:after="0" w:line="261"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Operating costs for the leases and wells in this report are based on the operating expense reports of Diamond and include only those costs directly applicable to the leases or wells. The operating costs include a portion of general and administrative costs allocated directly to the leases and wells. The operating costs furnished to us were accepted as factual data and reviewed by us for their reasonableness; however, we have not conducted an independent verification of the operating cost data used by Diamond. No deduction was made for loan repayments, interest expenses, or exploration and development prepayments that were not charged directly to the leases or wells.</w:t>
      </w:r>
    </w:p>
    <w:p>
      <w:pPr>
        <w:spacing w:after="0" w:line="219"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18"/>
          <w:szCs w:val="18"/>
          <w:color w:val="auto"/>
        </w:rPr>
        <w:t>Development costs were furnished to us by Diamond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Diamond’s estimates of zero abandonment costs after salvage value for onshore properties were used in this report. Ryder Scott has not performed a detailed study of the abandonment costs or the salvage value and makes no warranty for Diamond’s estimate.</w:t>
      </w:r>
    </w:p>
    <w:p>
      <w:pPr>
        <w:spacing w:after="0" w:line="219"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The proved developed non-producing and undeveloped reserves in this report have been incorporated herein in accordance with Diamond’s plans to develop these reserves as of December 31, 2012. The implementation of Diamond’s development plans as presented to us and incorporated herein is subject to the approval process adopted by Diamond’s management. As the result of our inquiries during the course of preparing this report, Diamond has informed us that the development activities included herein have been subjected to and received the internal approvals required by Diamond’s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52" w:lineRule="exact"/>
        <w:rPr>
          <w:sz w:val="20"/>
          <w:szCs w:val="20"/>
          <w:color w:val="auto"/>
        </w:rPr>
      </w:pPr>
    </w:p>
    <w:p>
      <w:pPr>
        <w:ind w:left="80" w:right="160"/>
        <w:spacing w:after="0" w:line="262" w:lineRule="auto"/>
        <w:rPr>
          <w:sz w:val="20"/>
          <w:szCs w:val="20"/>
          <w:color w:val="auto"/>
        </w:rPr>
      </w:pPr>
      <w:r>
        <w:rPr>
          <w:rFonts w:ascii="Arial" w:cs="Arial" w:eastAsia="Arial" w:hAnsi="Arial"/>
          <w:sz w:val="18"/>
          <w:szCs w:val="18"/>
          <w:color w:val="auto"/>
        </w:rPr>
        <w:t>Diamond. Additionally, Diamond has informed us that they are not aware of any legal, regulatory, political or economic obstacles that would significantly alter their plans.</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Current costs used by Diamond were held constant throughout the life of the properties.</w:t>
      </w:r>
    </w:p>
    <w:p>
      <w:pPr>
        <w:spacing w:after="0" w:line="33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261" w:lineRule="exact"/>
        <w:rPr>
          <w:sz w:val="20"/>
          <w:szCs w:val="20"/>
          <w:color w:val="auto"/>
        </w:rPr>
      </w:pPr>
    </w:p>
    <w:p>
      <w:pPr>
        <w:jc w:val="both"/>
        <w:ind w:left="80" w:firstLine="648"/>
        <w:spacing w:after="0" w:line="252" w:lineRule="auto"/>
        <w:rPr>
          <w:sz w:val="20"/>
          <w:szCs w:val="20"/>
          <w:color w:val="auto"/>
        </w:rPr>
      </w:pPr>
      <w:r>
        <w:rPr>
          <w:rFonts w:ascii="Arial" w:cs="Arial" w:eastAsia="Arial" w:hAnsi="Arial"/>
          <w:sz w:val="18"/>
          <w:szCs w:val="18"/>
          <w:color w:val="auto"/>
        </w:rPr>
        <w:t>Ryder Scott is an independent petroleum engineering consulting firm that has been providing petroleum consulting services throughout the world for over seventy years. Ryder Scott is employee- 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1" w:lineRule="exact"/>
        <w:rPr>
          <w:sz w:val="20"/>
          <w:szCs w:val="20"/>
          <w:color w:val="auto"/>
        </w:rPr>
      </w:pPr>
    </w:p>
    <w:p>
      <w:pPr>
        <w:jc w:val="both"/>
        <w:ind w:left="80" w:firstLine="648"/>
        <w:spacing w:after="0" w:line="254" w:lineRule="auto"/>
        <w:rPr>
          <w:sz w:val="20"/>
          <w:szCs w:val="20"/>
          <w:color w:val="auto"/>
        </w:rPr>
      </w:pPr>
      <w:r>
        <w:rPr>
          <w:rFonts w:ascii="Arial" w:cs="Arial" w:eastAsia="Arial" w:hAnsi="Arial"/>
          <w:sz w:val="18"/>
          <w:szCs w:val="18"/>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18"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15"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We are independent petroleum engineers with respect to Diamond. Neither we nor any of our employees have any interest in the subject properties and neither the employment to do this work nor the compensation is contingent on our estimates of reserves for the properties which were reviewed.</w:t>
      </w:r>
    </w:p>
    <w:p>
      <w:pPr>
        <w:spacing w:after="0" w:line="215"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the evaluation of the reserves information discussed in this report, are included as an attachment to this letter.</w:t>
      </w:r>
    </w:p>
    <w:p>
      <w:pPr>
        <w:spacing w:after="0" w:line="31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Terms of Usage</w:t>
      </w:r>
    </w:p>
    <w:p>
      <w:pPr>
        <w:spacing w:after="0" w:line="261" w:lineRule="exact"/>
        <w:rPr>
          <w:sz w:val="20"/>
          <w:szCs w:val="20"/>
          <w:color w:val="auto"/>
        </w:rPr>
      </w:pPr>
    </w:p>
    <w:p>
      <w:pPr>
        <w:jc w:val="both"/>
        <w:ind w:left="80" w:firstLine="648"/>
        <w:spacing w:after="0" w:line="262"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Diamond.</w:t>
      </w:r>
    </w:p>
    <w:p>
      <w:pPr>
        <w:spacing w:after="0" w:line="210" w:lineRule="exact"/>
        <w:rPr>
          <w:sz w:val="20"/>
          <w:szCs w:val="20"/>
          <w:color w:val="auto"/>
        </w:rPr>
      </w:pPr>
    </w:p>
    <w:p>
      <w:pPr>
        <w:jc w:val="both"/>
        <w:ind w:left="80" w:firstLine="648"/>
        <w:spacing w:after="0" w:line="256" w:lineRule="auto"/>
        <w:rPr>
          <w:sz w:val="20"/>
          <w:szCs w:val="20"/>
          <w:color w:val="auto"/>
        </w:rPr>
      </w:pPr>
      <w:r>
        <w:rPr>
          <w:rFonts w:ascii="Arial" w:cs="Arial" w:eastAsia="Arial" w:hAnsi="Arial"/>
          <w:sz w:val="18"/>
          <w:szCs w:val="18"/>
          <w:color w:val="auto"/>
        </w:rPr>
        <w:t>We have provided Diamond with a digital version of the original signed copy of this report letter. In the event there are any differences between the digital version included in filings made by Diamond and the original signed report letter, the original signed report letter shall control and supersede the digital version.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data and work papers used in the preparation of this report are available for examination by authorized parties in our offices.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contact us if we can be of further service.</w:t>
      </w:r>
    </w:p>
    <w:p>
      <w:pPr>
        <w:spacing w:after="0" w:line="200" w:lineRule="exact"/>
        <w:rPr>
          <w:sz w:val="20"/>
          <w:szCs w:val="20"/>
          <w:color w:val="auto"/>
        </w:rPr>
      </w:pPr>
    </w:p>
    <w:p>
      <w:pPr>
        <w:spacing w:after="0" w:line="21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Very Truly yours,</w:t>
      </w:r>
    </w:p>
    <w:p>
      <w:pPr>
        <w:spacing w:after="0" w:line="365"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RYDER SCOTT COMPANY, L.P.</w:t>
      </w:r>
    </w:p>
    <w:p>
      <w:pPr>
        <w:spacing w:after="0" w:line="8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TBPE Firm Registration No. F-1580</w:t>
      </w:r>
    </w:p>
    <w:p>
      <w:pPr>
        <w:spacing w:after="0" w:line="38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Don P. Griffin,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Don P. Griffin, P.E.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TBPE License No. 64150</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Senior Vice President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DPG (FPR)/pl</w:t>
      </w:r>
    </w:p>
    <w:p>
      <w:pPr>
        <w:spacing w:after="0" w:line="387"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393"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RYDER SCOTT COMPANY PETROLEUM CONSULTANTS</w:t>
      </w:r>
    </w:p>
    <w:p>
      <w:pPr>
        <w:jc w:val="center"/>
        <w:ind w:right="-4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60"/>
          </w:cols>
          <w:pgMar w:left="240" w:top="125" w:right="69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200" w:lineRule="exact"/>
        <w:rPr>
          <w:sz w:val="20"/>
          <w:szCs w:val="20"/>
          <w:color w:val="auto"/>
        </w:rPr>
      </w:pPr>
    </w:p>
    <w:p>
      <w:pPr>
        <w:spacing w:after="0" w:line="398" w:lineRule="exact"/>
        <w:rPr>
          <w:sz w:val="20"/>
          <w:szCs w:val="20"/>
          <w:color w:val="auto"/>
        </w:rPr>
      </w:pPr>
    </w:p>
    <w:p>
      <w:pPr>
        <w:jc w:val="both"/>
        <w:ind w:left="80"/>
        <w:spacing w:after="0" w:line="256" w:lineRule="auto"/>
        <w:rPr>
          <w:sz w:val="20"/>
          <w:szCs w:val="20"/>
          <w:color w:val="auto"/>
        </w:rPr>
      </w:pPr>
      <w:r>
        <w:rPr>
          <w:rFonts w:ascii="Arial" w:cs="Arial" w:eastAsia="Arial" w:hAnsi="Arial"/>
          <w:sz w:val="18"/>
          <w:szCs w:val="18"/>
          <w:color w:val="auto"/>
        </w:rPr>
        <w:t>The conclusions presented in this report are the result of technical analysis conducted by teams of geoscientists and engineers from Ryder Scott Company, L.P. Don P. Griffin was the primary technical person responsible for overseeing the estimate of the reserves, future production and income presented herein.</w:t>
      </w:r>
    </w:p>
    <w:p>
      <w:pPr>
        <w:spacing w:after="0" w:line="215"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 xml:space="preserve">Mr. Griffin, an employee of Ryder Scott Company, L.P. (Ryder Scott) since 1981, is a Senior Vice President responsible for coordinating and supervising staff and consulting engineers of the company in ongoing reservoir evaluation studies worldwide. Before joining Ryder Scott, Mr. Griffin served in a number of engineering positions with Amoco Production Company. For more information regarding Mr. Griffin’s geographic and job specific experience, please refer to the Ryder Scott Company website at </w:t>
      </w:r>
      <w:r>
        <w:rPr>
          <w:rFonts w:ascii="Arial" w:cs="Arial" w:eastAsia="Arial" w:hAnsi="Arial"/>
          <w:sz w:val="18"/>
          <w:szCs w:val="18"/>
          <w:u w:val="single" w:color="auto"/>
          <w:color w:val="auto"/>
        </w:rPr>
        <w:t>http://www.ryderscott.com/Experience/Employees.php.</w:t>
      </w:r>
    </w:p>
    <w:p>
      <w:pPr>
        <w:spacing w:after="0" w:line="204" w:lineRule="exact"/>
        <w:rPr>
          <w:sz w:val="20"/>
          <w:szCs w:val="20"/>
          <w:color w:val="auto"/>
        </w:rPr>
      </w:pPr>
    </w:p>
    <w:p>
      <w:pPr>
        <w:jc w:val="both"/>
        <w:ind w:left="80"/>
        <w:spacing w:after="0" w:line="256" w:lineRule="auto"/>
        <w:rPr>
          <w:sz w:val="20"/>
          <w:szCs w:val="20"/>
          <w:color w:val="auto"/>
        </w:rPr>
      </w:pPr>
      <w:r>
        <w:rPr>
          <w:rFonts w:ascii="Arial" w:cs="Arial" w:eastAsia="Arial" w:hAnsi="Arial"/>
          <w:sz w:val="18"/>
          <w:szCs w:val="18"/>
          <w:color w:val="auto"/>
        </w:rPr>
        <w:t>Mr. Griffin graduated with honors from Texas Tech University with a Bachelor of Science degree in Electrical Engineering in 1975 and is a licensed Professional Engineer in the State of Texas. He is also a member of the Society of Petroleum Engineers and the Society of Petroleum Evaluation Engineers.</w:t>
      </w:r>
    </w:p>
    <w:p>
      <w:pPr>
        <w:spacing w:after="0" w:line="215"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Griffin fulfills. Mr. Griffin attended an additional 15 hours of training during 2012 covering such topics as reservoir engineering, geoscience and petroleum economics evaluation methods, procedures and software and ethics for consultants.</w:t>
      </w:r>
    </w:p>
    <w:p>
      <w:pPr>
        <w:spacing w:after="0" w:line="218" w:lineRule="exact"/>
        <w:rPr>
          <w:sz w:val="20"/>
          <w:szCs w:val="20"/>
          <w:color w:val="auto"/>
        </w:rPr>
      </w:pPr>
    </w:p>
    <w:p>
      <w:pPr>
        <w:jc w:val="both"/>
        <w:ind w:left="80"/>
        <w:spacing w:after="0" w:line="254" w:lineRule="auto"/>
        <w:rPr>
          <w:sz w:val="20"/>
          <w:szCs w:val="20"/>
          <w:color w:val="auto"/>
        </w:rPr>
      </w:pPr>
      <w:r>
        <w:rPr>
          <w:rFonts w:ascii="Arial" w:cs="Arial" w:eastAsia="Arial" w:hAnsi="Arial"/>
          <w:sz w:val="18"/>
          <w:szCs w:val="18"/>
          <w:color w:val="auto"/>
        </w:rPr>
        <w:t>Based on his educational background, professional training and more than 30 years of practical experience in the estimation and evaluation of petroleum reserves, Mr. Griffin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PETROLEUM RESERVES DEFINITIONS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Adapted From:</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PREAMBLE</w:t>
      </w:r>
    </w:p>
    <w:p>
      <w:pPr>
        <w:spacing w:after="0" w:line="2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8"/>
          <w:szCs w:val="18"/>
          <w:color w:val="auto"/>
        </w:rPr>
        <w:t>All reserve estimates involve an assessment of the uncertainty</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Instruction to Item 1202.</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Reserves estimates will generally be revised only as additional geologic or engineering data become available or as economic conditions change.</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Reserves do not include quantities of petroleum being held in inventory.</w:t>
      </w:r>
    </w:p>
    <w:p>
      <w:pPr>
        <w:spacing w:after="0" w:line="225" w:lineRule="exact"/>
        <w:rPr>
          <w:sz w:val="20"/>
          <w:szCs w:val="20"/>
          <w:color w:val="auto"/>
        </w:rPr>
      </w:pPr>
    </w:p>
    <w:p>
      <w:pPr>
        <w:ind w:right="740" w:firstLine="648"/>
        <w:spacing w:after="0" w:line="262" w:lineRule="auto"/>
        <w:rPr>
          <w:sz w:val="20"/>
          <w:szCs w:val="20"/>
          <w:color w:val="auto"/>
        </w:rPr>
      </w:pPr>
      <w:r>
        <w:rPr>
          <w:rFonts w:ascii="Arial" w:cs="Arial" w:eastAsia="Arial" w:hAnsi="Arial"/>
          <w:sz w:val="18"/>
          <w:szCs w:val="18"/>
          <w:color w:val="auto"/>
        </w:rPr>
        <w:t>Because of the differences in uncertainty, caution should be exercised when aggregating quantities of petroleum from different reserves categories.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(SEC DEFINITIONS)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and Exchange Commission Regulation S-X §210.4-10(a)(26) defines reserves as follows: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Reserves. </w:t>
      </w:r>
      <w:r>
        <w:rPr>
          <w:rFonts w:ascii="Arial" w:cs="Arial" w:eastAsia="Arial" w:hAnsi="Arial"/>
          <w:sz w:val="18"/>
          <w:szCs w:val="18"/>
          <w:i w:val="1"/>
          <w:iCs w:val="1"/>
          <w:color w:val="auto"/>
        </w:rPr>
        <w:t>Reserves are estimated remaining quantities of oil and gas and related substances anticipated to be economically producible, as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Note to paragraph (a)(26):</w:t>
      </w:r>
      <w:r>
        <w:rPr>
          <w:rFonts w:ascii="Arial" w:cs="Arial" w:eastAsia="Arial" w:hAnsi="Arial"/>
          <w:sz w:val="18"/>
          <w:szCs w:val="18"/>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absence of reservoir, structurally low reservoir, or negative test results). Such areas may contain prospective resources (</w:t>
      </w:r>
      <w:r>
        <w:rPr>
          <w:rFonts w:ascii="Arial" w:cs="Arial" w:eastAsia="Arial" w:hAnsi="Arial"/>
          <w:sz w:val="18"/>
          <w:szCs w:val="18"/>
          <w:i w:val="1"/>
          <w:iCs w:val="1"/>
          <w:u w:val="single" w:color="auto"/>
          <w:color w:val="auto"/>
        </w:rPr>
        <w:t>i.e.</w:t>
      </w:r>
      <w:r>
        <w:rPr>
          <w:rFonts w:ascii="Arial" w:cs="Arial" w:eastAsia="Arial" w:hAnsi="Arial"/>
          <w:sz w:val="18"/>
          <w:szCs w:val="18"/>
          <w:i w:val="1"/>
          <w:iCs w:val="1"/>
          <w:color w:val="auto"/>
        </w:rPr>
        <w:t>, potentially recoverable resources from undiscovered accumulations).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and Exchange Commission Regulation S-X §210.4-10(a)(22) defines proved oil and gas reserves as follows: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Proved oil and gas reserves. </w:t>
      </w:r>
      <w:r>
        <w:rPr>
          <w:rFonts w:ascii="Arial" w:cs="Arial" w:eastAsia="Arial" w:hAnsi="Arial"/>
          <w:sz w:val="18"/>
          <w:szCs w:val="18"/>
          <w:i w:val="1"/>
          <w:iCs w:val="1"/>
          <w:color w:val="auto"/>
        </w:rPr>
        <w:t>Proved oil and gas reserves are those quantities of oil and gas, which, by analysis of geoscience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0" w:lineRule="exact"/>
        <w:rPr>
          <w:sz w:val="20"/>
          <w:szCs w:val="20"/>
          <w:color w:val="auto"/>
        </w:rPr>
      </w:pPr>
    </w:p>
    <w:p>
      <w:pPr>
        <w:ind w:left="940" w:hanging="203"/>
        <w:spacing w:after="0"/>
        <w:tabs>
          <w:tab w:leader="none" w:pos="94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The area of the reservoir considered as proved includes:</w:t>
      </w:r>
    </w:p>
    <w:p>
      <w:pPr>
        <w:spacing w:after="0" w:line="238" w:lineRule="exact"/>
        <w:rPr>
          <w:rFonts w:ascii="Arial" w:cs="Arial" w:eastAsia="Arial" w:hAnsi="Arial"/>
          <w:sz w:val="18"/>
          <w:szCs w:val="18"/>
          <w:i w:val="1"/>
          <w:iCs w:val="1"/>
          <w:color w:val="auto"/>
        </w:rPr>
      </w:pPr>
    </w:p>
    <w:p>
      <w:pPr>
        <w:ind w:left="1680" w:hanging="294"/>
        <w:spacing w:after="0"/>
        <w:tabs>
          <w:tab w:leader="none" w:pos="1680" w:val="left"/>
        </w:tabs>
        <w:numPr>
          <w:ilvl w:val="1"/>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The area identified by drilling and limited by fluid contacts, if any, and</w:t>
      </w:r>
    </w:p>
    <w:p>
      <w:pPr>
        <w:spacing w:after="0" w:line="238" w:lineRule="exact"/>
        <w:rPr>
          <w:rFonts w:ascii="Arial" w:cs="Arial" w:eastAsia="Arial" w:hAnsi="Arial"/>
          <w:sz w:val="18"/>
          <w:szCs w:val="18"/>
          <w:i w:val="1"/>
          <w:iCs w:val="1"/>
          <w:color w:val="auto"/>
        </w:rPr>
      </w:pPr>
    </w:p>
    <w:p>
      <w:pPr>
        <w:ind w:left="1380" w:right="20" w:firstLine="6"/>
        <w:spacing w:after="0" w:line="282" w:lineRule="auto"/>
        <w:tabs>
          <w:tab w:leader="none" w:pos="1683" w:val="left"/>
        </w:tabs>
        <w:numPr>
          <w:ilvl w:val="1"/>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75" w:lineRule="exact"/>
        <w:rPr>
          <w:rFonts w:ascii="Arial" w:cs="Arial" w:eastAsia="Arial" w:hAnsi="Arial"/>
          <w:sz w:val="18"/>
          <w:szCs w:val="18"/>
          <w:i w:val="1"/>
          <w:iCs w:val="1"/>
          <w:color w:val="auto"/>
        </w:rPr>
      </w:pPr>
    </w:p>
    <w:p>
      <w:pPr>
        <w:jc w:val="both"/>
        <w:ind w:left="740" w:hanging="3"/>
        <w:spacing w:after="0" w:line="266" w:lineRule="auto"/>
        <w:tabs>
          <w:tab w:leader="none" w:pos="1003"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DEFINITIONS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PROVED RESERVES (SEC DEFINITIONS) CONTINUED</w:t>
      </w:r>
    </w:p>
    <w:p>
      <w:pPr>
        <w:spacing w:after="0" w:line="229" w:lineRule="exact"/>
        <w:rPr>
          <w:sz w:val="20"/>
          <w:szCs w:val="20"/>
          <w:color w:val="auto"/>
        </w:rPr>
      </w:pPr>
    </w:p>
    <w:p>
      <w:pPr>
        <w:jc w:val="both"/>
        <w:ind w:left="740" w:hanging="3"/>
        <w:spacing w:after="0" w:line="266" w:lineRule="auto"/>
        <w:tabs>
          <w:tab w:leader="none" w:pos="1044"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9" w:lineRule="exact"/>
        <w:rPr>
          <w:rFonts w:ascii="Arial" w:cs="Arial" w:eastAsia="Arial" w:hAnsi="Arial"/>
          <w:sz w:val="18"/>
          <w:szCs w:val="18"/>
          <w:i w:val="1"/>
          <w:iCs w:val="1"/>
          <w:color w:val="auto"/>
        </w:rPr>
      </w:pPr>
    </w:p>
    <w:p>
      <w:pPr>
        <w:ind w:left="740" w:hanging="3"/>
        <w:spacing w:after="0" w:line="260" w:lineRule="auto"/>
        <w:tabs>
          <w:tab w:leader="none" w:pos="1046"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18"/>
          <w:szCs w:val="18"/>
          <w:i w:val="1"/>
          <w:iCs w:val="1"/>
          <w:color w:val="auto"/>
        </w:rPr>
      </w:pPr>
    </w:p>
    <w:p>
      <w:pPr>
        <w:jc w:val="both"/>
        <w:ind w:left="1380" w:firstLine="6"/>
        <w:spacing w:after="0" w:line="256" w:lineRule="auto"/>
        <w:tabs>
          <w:tab w:leader="none" w:pos="1673" w:val="left"/>
        </w:tabs>
        <w:numPr>
          <w:ilvl w:val="1"/>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97" w:lineRule="exact"/>
        <w:rPr>
          <w:rFonts w:ascii="Arial" w:cs="Arial" w:eastAsia="Arial" w:hAnsi="Arial"/>
          <w:sz w:val="18"/>
          <w:szCs w:val="18"/>
          <w:i w:val="1"/>
          <w:iCs w:val="1"/>
          <w:color w:val="auto"/>
        </w:rPr>
      </w:pPr>
    </w:p>
    <w:p>
      <w:pPr>
        <w:ind w:left="1680" w:hanging="294"/>
        <w:spacing w:after="0"/>
        <w:tabs>
          <w:tab w:leader="none" w:pos="1680" w:val="left"/>
        </w:tabs>
        <w:numPr>
          <w:ilvl w:val="1"/>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 project has been approved for development by all necessary parties and entities, including governmental entities.</w:t>
      </w:r>
    </w:p>
    <w:p>
      <w:pPr>
        <w:spacing w:after="0" w:line="238" w:lineRule="exact"/>
        <w:rPr>
          <w:rFonts w:ascii="Arial" w:cs="Arial" w:eastAsia="Arial" w:hAnsi="Arial"/>
          <w:sz w:val="18"/>
          <w:szCs w:val="18"/>
          <w:i w:val="1"/>
          <w:iCs w:val="1"/>
          <w:color w:val="auto"/>
        </w:rPr>
      </w:pPr>
    </w:p>
    <w:p>
      <w:pPr>
        <w:jc w:val="both"/>
        <w:ind w:left="740" w:right="20" w:hanging="3"/>
        <w:spacing w:after="0" w:line="261" w:lineRule="auto"/>
        <w:tabs>
          <w:tab w:leader="none" w:pos="1015"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RESERVES STATUS DEFINITIONS AND GUIDELINES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Adapted From:</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4-10(a) of REGULATION S-X PART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 (SEC)</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RESOURCES MANAGEMENT SYSTEM (SPE-PRMS)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Sponsored and Approved by: SOCIETY OF</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ENGINEERS (SPE) WORLD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PETROLEUM COUNCIL (WPC)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ASSOCIATION OF PETROLEUM GEOLOGISTS (AAPG)</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SOCIETY OF PETROLEUM EVALUATION ENGINEERS (SPEE)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260" w:firstLine="648"/>
        <w:spacing w:after="0" w:line="254" w:lineRule="auto"/>
        <w:rPr>
          <w:sz w:val="20"/>
          <w:szCs w:val="20"/>
          <w:color w:val="auto"/>
        </w:rPr>
      </w:pPr>
      <w:r>
        <w:rPr>
          <w:rFonts w:ascii="Arial" w:cs="Arial" w:eastAsia="Arial" w:hAnsi="Arial"/>
          <w:sz w:val="18"/>
          <w:szCs w:val="18"/>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RESERVES (SEC DEFINITIONS)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Developed oil and gas reserves are reserves of any category that can be expected to be recovered:</w:t>
      </w:r>
    </w:p>
    <w:p>
      <w:pPr>
        <w:spacing w:after="0" w:line="239" w:lineRule="exact"/>
        <w:rPr>
          <w:sz w:val="20"/>
          <w:szCs w:val="20"/>
          <w:color w:val="auto"/>
        </w:rPr>
      </w:pPr>
    </w:p>
    <w:p>
      <w:pPr>
        <w:ind w:left="1380" w:firstLine="6"/>
        <w:spacing w:after="0" w:line="282" w:lineRule="auto"/>
        <w:tabs>
          <w:tab w:leader="none" w:pos="1608"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Through existing wells with existing equipment and operating methods or in which the cost of the required equipment is relatively minor compared to the cost of a new well; and</w:t>
      </w:r>
    </w:p>
    <w:p>
      <w:pPr>
        <w:spacing w:after="0" w:line="175" w:lineRule="exact"/>
        <w:rPr>
          <w:rFonts w:ascii="Arial" w:cs="Arial" w:eastAsia="Arial" w:hAnsi="Arial"/>
          <w:sz w:val="18"/>
          <w:szCs w:val="18"/>
          <w:i w:val="1"/>
          <w:iCs w:val="1"/>
          <w:color w:val="auto"/>
        </w:rPr>
      </w:pPr>
    </w:p>
    <w:p>
      <w:pPr>
        <w:ind w:left="1380" w:right="20" w:firstLine="6"/>
        <w:spacing w:after="0" w:line="282" w:lineRule="auto"/>
        <w:tabs>
          <w:tab w:leader="none" w:pos="1639"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Through installed extraction equipment and infrastructure operational at the time of the reserves estimate if the extraction is by means not involving a well.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Developed Producing (SPE-PRMS Definitions)</w:t>
      </w:r>
    </w:p>
    <w:p>
      <w:pPr>
        <w:spacing w:after="0" w:line="2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While not a requirement for disclosure under the SEC regulations, developed oil and gas reserves may be further sub-classified according to the guidance contained in the SPE-PRMS as Producing or Non-Producing.</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u w:val="single" w:color="auto"/>
          <w:color w:val="auto"/>
        </w:rPr>
        <w:t>Developed Producing Reserves</w:t>
      </w:r>
    </w:p>
    <w:p>
      <w:pPr>
        <w:spacing w:after="0" w:line="31" w:lineRule="exact"/>
        <w:rPr>
          <w:sz w:val="20"/>
          <w:szCs w:val="20"/>
          <w:color w:val="auto"/>
        </w:rPr>
      </w:pPr>
    </w:p>
    <w:p>
      <w:pPr>
        <w:ind w:left="740" w:right="20"/>
        <w:spacing w:after="0" w:line="262" w:lineRule="auto"/>
        <w:rPr>
          <w:sz w:val="20"/>
          <w:szCs w:val="20"/>
          <w:color w:val="auto"/>
        </w:rPr>
      </w:pPr>
      <w:r>
        <w:rPr>
          <w:rFonts w:ascii="Arial" w:cs="Arial" w:eastAsia="Arial" w:hAnsi="Arial"/>
          <w:sz w:val="18"/>
          <w:szCs w:val="18"/>
          <w:i w:val="1"/>
          <w:iCs w:val="1"/>
          <w:color w:val="auto"/>
        </w:rPr>
        <w:t>Developed Producing Reserves are expected to be recovered from completion intervals that are open and producing at the time of the estimate.</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Improved recovery reserves are considered producing only after the improved recovery project is in operation.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PETROLEUM RESERVES STATUS DEFINITIONS AND GUIDELINES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u w:val="single" w:color="auto"/>
          <w:color w:val="auto"/>
        </w:rPr>
        <w:t>Developed Non-Producing</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Developed Non-Producing Reserves include shut-in and behind-pipe reserves.</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u w:val="single" w:color="auto"/>
          <w:color w:val="auto"/>
        </w:rPr>
        <w:t>Shut-In</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Shut-in Reserves are expected to be recovered from:</w:t>
      </w:r>
    </w:p>
    <w:p>
      <w:pPr>
        <w:spacing w:after="0" w:line="9" w:lineRule="exact"/>
        <w:rPr>
          <w:sz w:val="20"/>
          <w:szCs w:val="20"/>
          <w:color w:val="auto"/>
        </w:rPr>
      </w:pPr>
    </w:p>
    <w:p>
      <w:pPr>
        <w:ind w:left="1340" w:hanging="279"/>
        <w:spacing w:after="0"/>
        <w:tabs>
          <w:tab w:leader="none" w:pos="13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completion intervals which are open at the time of the estimate, but which have not started producing;</w:t>
      </w:r>
    </w:p>
    <w:p>
      <w:pPr>
        <w:spacing w:after="0" w:line="9" w:lineRule="exact"/>
        <w:rPr>
          <w:rFonts w:ascii="Arial" w:cs="Arial" w:eastAsia="Arial" w:hAnsi="Arial"/>
          <w:sz w:val="18"/>
          <w:szCs w:val="18"/>
          <w:i w:val="1"/>
          <w:iCs w:val="1"/>
          <w:color w:val="auto"/>
        </w:rPr>
      </w:pPr>
    </w:p>
    <w:p>
      <w:pPr>
        <w:ind w:left="1340" w:hanging="279"/>
        <w:spacing w:after="0"/>
        <w:tabs>
          <w:tab w:leader="none" w:pos="13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wells which were shut-in for market conditions or pipeline connections; or</w:t>
      </w:r>
    </w:p>
    <w:p>
      <w:pPr>
        <w:spacing w:after="0" w:line="9" w:lineRule="exact"/>
        <w:rPr>
          <w:rFonts w:ascii="Arial" w:cs="Arial" w:eastAsia="Arial" w:hAnsi="Arial"/>
          <w:sz w:val="18"/>
          <w:szCs w:val="18"/>
          <w:i w:val="1"/>
          <w:iCs w:val="1"/>
          <w:color w:val="auto"/>
        </w:rPr>
      </w:pPr>
    </w:p>
    <w:p>
      <w:pPr>
        <w:ind w:left="1340" w:hanging="279"/>
        <w:spacing w:after="0"/>
        <w:tabs>
          <w:tab w:leader="none" w:pos="13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wells not capable of production for mechanical reasons.</w:t>
      </w:r>
    </w:p>
    <w:p>
      <w:pPr>
        <w:spacing w:after="0" w:line="21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u w:val="single" w:color="auto"/>
          <w:color w:val="auto"/>
        </w:rPr>
        <w:t>Behind-Pipe</w:t>
      </w:r>
    </w:p>
    <w:p>
      <w:pPr>
        <w:spacing w:after="0" w:line="31" w:lineRule="exact"/>
        <w:rPr>
          <w:sz w:val="20"/>
          <w:szCs w:val="20"/>
          <w:color w:val="auto"/>
        </w:rPr>
      </w:pPr>
    </w:p>
    <w:p>
      <w:pPr>
        <w:ind w:left="740" w:right="420"/>
        <w:spacing w:after="0" w:line="262" w:lineRule="auto"/>
        <w:rPr>
          <w:sz w:val="20"/>
          <w:szCs w:val="20"/>
          <w:color w:val="auto"/>
        </w:rPr>
      </w:pPr>
      <w:r>
        <w:rPr>
          <w:rFonts w:ascii="Arial" w:cs="Arial" w:eastAsia="Arial" w:hAnsi="Arial"/>
          <w:sz w:val="18"/>
          <w:szCs w:val="18"/>
          <w:i w:val="1"/>
          <w:iCs w:val="1"/>
          <w:color w:val="auto"/>
        </w:rPr>
        <w:t>Behind-pipe Reserves are expected to be recovered from zones in existing wells, which will require additional completion work or future re-completion prior to start of production.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UNDEVELOPED RESERVES (SEC DEFINITIONS)</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Securities and Exchange Commission Regulation S-X §210.4-10(a)(31) defines undeveloped oil and gas reserves as follows:</w:t>
      </w:r>
    </w:p>
    <w:p>
      <w:pPr>
        <w:spacing w:after="0" w:line="221" w:lineRule="exact"/>
        <w:rPr>
          <w:sz w:val="20"/>
          <w:szCs w:val="20"/>
          <w:color w:val="auto"/>
        </w:rPr>
      </w:pPr>
    </w:p>
    <w:p>
      <w:pPr>
        <w:ind w:left="740"/>
        <w:spacing w:after="0" w:line="282" w:lineRule="auto"/>
        <w:rPr>
          <w:sz w:val="20"/>
          <w:szCs w:val="20"/>
          <w:color w:val="auto"/>
        </w:rPr>
      </w:pPr>
      <w:r>
        <w:rPr>
          <w:rFonts w:ascii="Arial" w:cs="Arial" w:eastAsia="Arial" w:hAnsi="Arial"/>
          <w:sz w:val="18"/>
          <w:szCs w:val="18"/>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5" w:lineRule="exact"/>
        <w:rPr>
          <w:sz w:val="20"/>
          <w:szCs w:val="20"/>
          <w:color w:val="auto"/>
        </w:rPr>
      </w:pPr>
    </w:p>
    <w:p>
      <w:pPr>
        <w:ind w:left="1540" w:right="120" w:hanging="161"/>
        <w:spacing w:after="0" w:line="266" w:lineRule="auto"/>
        <w:rPr>
          <w:sz w:val="20"/>
          <w:szCs w:val="20"/>
          <w:color w:val="auto"/>
        </w:rPr>
      </w:pPr>
      <w:r>
        <w:rPr>
          <w:rFonts w:ascii="Arial" w:cs="Arial" w:eastAsia="Arial" w:hAnsi="Arial"/>
          <w:sz w:val="18"/>
          <w:szCs w:val="18"/>
          <w:i w:val="1"/>
          <w:iCs w:val="1"/>
          <w:color w:val="auto"/>
        </w:rPr>
        <w:t>(i)Reserves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0" w:lineRule="exact"/>
        <w:rPr>
          <w:sz w:val="20"/>
          <w:szCs w:val="20"/>
          <w:color w:val="auto"/>
        </w:rPr>
      </w:pPr>
    </w:p>
    <w:p>
      <w:pPr>
        <w:ind w:left="1380" w:right="20" w:firstLine="6"/>
        <w:spacing w:after="0" w:line="282" w:lineRule="auto"/>
        <w:tabs>
          <w:tab w:leader="none" w:pos="1668"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5" w:lineRule="exact"/>
        <w:rPr>
          <w:rFonts w:ascii="Arial" w:cs="Arial" w:eastAsia="Arial" w:hAnsi="Arial"/>
          <w:sz w:val="18"/>
          <w:szCs w:val="18"/>
          <w:i w:val="1"/>
          <w:iCs w:val="1"/>
          <w:color w:val="auto"/>
        </w:rPr>
      </w:pPr>
    </w:p>
    <w:p>
      <w:pPr>
        <w:jc w:val="both"/>
        <w:ind w:left="1380" w:firstLine="6"/>
        <w:spacing w:after="0" w:line="261" w:lineRule="auto"/>
        <w:tabs>
          <w:tab w:leader="none" w:pos="16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780" w:type="dxa"/>
            <w:vAlign w:val="bottom"/>
            <w:gridSpan w:val="5"/>
          </w:tcPr>
          <w:p>
            <w:pPr>
              <w:spacing w:after="0"/>
              <w:rPr>
                <w:sz w:val="20"/>
                <w:szCs w:val="20"/>
                <w:color w:val="auto"/>
              </w:rPr>
            </w:pPr>
            <w:r>
              <w:rPr>
                <w:rFonts w:ascii="Arial" w:cs="Arial" w:eastAsia="Arial" w:hAnsi="Arial"/>
                <w:sz w:val="18"/>
                <w:szCs w:val="18"/>
                <w:b w:val="1"/>
                <w:bCs w:val="1"/>
                <w:color w:val="auto"/>
              </w:rPr>
              <w:t>Combined Consolidated Financial Statements of Diamondback Energy, Inc.</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9780" w:type="dxa"/>
            <w:vAlign w:val="bottom"/>
            <w:gridSpan w:val="5"/>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780" w:type="dxa"/>
            <w:vAlign w:val="bottom"/>
            <w:gridSpan w:val="5"/>
          </w:tcPr>
          <w:p>
            <w:pPr>
              <w:spacing w:after="0"/>
              <w:rPr>
                <w:sz w:val="20"/>
                <w:szCs w:val="20"/>
                <w:color w:val="auto"/>
              </w:rPr>
            </w:pPr>
            <w:r>
              <w:rPr>
                <w:rFonts w:ascii="Arial" w:cs="Arial" w:eastAsia="Arial" w:hAnsi="Arial"/>
                <w:sz w:val="18"/>
                <w:szCs w:val="18"/>
                <w:color w:val="auto"/>
              </w:rPr>
              <w:t>Combined Consolidated Balance Sheets as of December 31, 2012 and 2011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780" w:type="dxa"/>
            <w:vAlign w:val="bottom"/>
            <w:gridSpan w:val="5"/>
          </w:tcPr>
          <w:p>
            <w:pPr>
              <w:spacing w:after="0"/>
              <w:rPr>
                <w:sz w:val="20"/>
                <w:szCs w:val="20"/>
                <w:color w:val="auto"/>
              </w:rPr>
            </w:pPr>
            <w:r>
              <w:rPr>
                <w:rFonts w:ascii="Arial" w:cs="Arial" w:eastAsia="Arial" w:hAnsi="Arial"/>
                <w:sz w:val="18"/>
                <w:szCs w:val="18"/>
                <w:color w:val="auto"/>
              </w:rPr>
              <w:t>Combined Consolidated Statements of Operations for the Year Ended December 31, 2012, 2011 and 2010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780" w:type="dxa"/>
            <w:vAlign w:val="bottom"/>
            <w:gridSpan w:val="5"/>
          </w:tcPr>
          <w:p>
            <w:pPr>
              <w:spacing w:after="0"/>
              <w:rPr>
                <w:sz w:val="20"/>
                <w:szCs w:val="20"/>
                <w:color w:val="auto"/>
              </w:rPr>
            </w:pPr>
            <w:r>
              <w:rPr>
                <w:rFonts w:ascii="Arial" w:cs="Arial" w:eastAsia="Arial" w:hAnsi="Arial"/>
                <w:sz w:val="18"/>
                <w:szCs w:val="18"/>
                <w:color w:val="auto"/>
                <w:w w:val="92"/>
              </w:rPr>
              <w:t>Combined Consolidated Statement of Stockholders’ Equity/Member’s Equity for the Year Ended December 31, 2012, 2011 and 2010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780" w:type="dxa"/>
            <w:vAlign w:val="bottom"/>
            <w:gridSpan w:val="5"/>
          </w:tcPr>
          <w:p>
            <w:pPr>
              <w:spacing w:after="0"/>
              <w:rPr>
                <w:sz w:val="20"/>
                <w:szCs w:val="20"/>
                <w:color w:val="auto"/>
              </w:rPr>
            </w:pPr>
            <w:r>
              <w:rPr>
                <w:rFonts w:ascii="Arial" w:cs="Arial" w:eastAsia="Arial" w:hAnsi="Arial"/>
                <w:sz w:val="18"/>
                <w:szCs w:val="18"/>
                <w:color w:val="auto"/>
              </w:rPr>
              <w:t>Combined Consolidated Statements of Cash Flows for the Year Ended December 31, 2012, 2011 and 2010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780" w:type="dxa"/>
            <w:vAlign w:val="bottom"/>
            <w:gridSpan w:val="5"/>
          </w:tcPr>
          <w:p>
            <w:pPr>
              <w:spacing w:after="0"/>
              <w:rPr>
                <w:sz w:val="20"/>
                <w:szCs w:val="20"/>
                <w:color w:val="auto"/>
              </w:rPr>
            </w:pPr>
            <w:r>
              <w:rPr>
                <w:rFonts w:ascii="Arial" w:cs="Arial" w:eastAsia="Arial" w:hAnsi="Arial"/>
                <w:sz w:val="18"/>
                <w:szCs w:val="18"/>
                <w:color w:val="auto"/>
              </w:rPr>
              <w:t>Notes to the Combined Consolidated Financial Statements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7"/>
              </w:rPr>
              <w:t>Statements of Revenues and Direct Operating Expenses of Certain Property Interests of Gulfport Energy Corporation</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9780" w:type="dxa"/>
            <w:vAlign w:val="bottom"/>
            <w:gridSpan w:val="5"/>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Report of Independent Certified Public Accountants</w:t>
              </w:r>
            </w:hyperlink>
          </w:p>
        </w:tc>
        <w:tc>
          <w:tcPr>
            <w:tcW w:w="1580" w:type="dxa"/>
            <w:vAlign w:val="bottom"/>
            <w:gridSpan w:val="2"/>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F-2</w:t>
              </w:r>
            </w:hyperlink>
          </w:p>
        </w:tc>
      </w:tr>
      <w:tr>
        <w:trPr>
          <w:trHeight w:val="20"/>
        </w:trPr>
        <w:tc>
          <w:tcPr>
            <w:tcW w:w="374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50"/>
        </w:trPr>
        <w:tc>
          <w:tcPr>
            <w:tcW w:w="9780" w:type="dxa"/>
            <w:vAlign w:val="bottom"/>
            <w:gridSpan w:val="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Statements of Revenues and Direct Operating Expenses for the Years Ended December 31, 2011 and 2010</w:t>
              </w:r>
            </w:hyperlink>
          </w:p>
        </w:tc>
        <w:tc>
          <w:tcPr>
            <w:tcW w:w="1580" w:type="dxa"/>
            <w:vAlign w:val="bottom"/>
            <w:gridSpan w:val="2"/>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F-3</w:t>
              </w:r>
            </w:hyperlink>
          </w:p>
        </w:tc>
      </w:tr>
      <w:tr>
        <w:trPr>
          <w:trHeight w:val="20"/>
        </w:trPr>
        <w:tc>
          <w:tcPr>
            <w:tcW w:w="76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50"/>
        </w:trPr>
        <w:tc>
          <w:tcPr>
            <w:tcW w:w="83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16">
              <w:r>
                <w:rPr>
                  <w:rFonts w:ascii="Arial" w:cs="Arial" w:eastAsia="Arial" w:hAnsi="Arial"/>
                  <w:sz w:val="18"/>
                  <w:szCs w:val="18"/>
                  <w:color w:val="0000FF"/>
                  <w:w w:val="88"/>
                </w:rPr>
                <w:t>Notes to Statements of Revenues and Direct Operating Expenses for the Years Ended December 31, 2011 and 2010</w:t>
              </w:r>
            </w:hyperlink>
          </w:p>
        </w:tc>
        <w:tc>
          <w:tcPr>
            <w:tcW w:w="1480" w:type="dxa"/>
            <w:vAlign w:val="bottom"/>
            <w:gridSpan w:val="2"/>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16">
              <w:r>
                <w:rPr>
                  <w:rFonts w:ascii="Arial" w:cs="Arial" w:eastAsia="Arial" w:hAnsi="Arial"/>
                  <w:sz w:val="18"/>
                  <w:szCs w:val="18"/>
                  <w:color w:val="0000FF"/>
                  <w:w w:val="88"/>
                </w:rPr>
                <w:t>F-4</w:t>
              </w:r>
            </w:hyperlink>
          </w:p>
        </w:tc>
      </w:tr>
      <w:tr>
        <w:trPr>
          <w:trHeight w:val="574"/>
        </w:trPr>
        <w:tc>
          <w:tcPr>
            <w:tcW w:w="91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Statements of Revenues and Direct Operating Expenses (Unaudited) for the Nine Months Ended September 30, 2012 and 2011</w:t>
              </w:r>
            </w:hyperlink>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19">
              <w:r>
                <w:rPr>
                  <w:rFonts w:ascii="Arial" w:cs="Arial" w:eastAsia="Arial" w:hAnsi="Arial"/>
                  <w:sz w:val="18"/>
                  <w:szCs w:val="18"/>
                  <w:color w:val="0000FF"/>
                  <w:w w:val="88"/>
                </w:rPr>
                <w:t>F-7</w:t>
              </w:r>
            </w:hyperlink>
          </w:p>
        </w:tc>
      </w:tr>
      <w:tr>
        <w:trPr>
          <w:trHeight w:val="250"/>
        </w:trPr>
        <w:tc>
          <w:tcPr>
            <w:tcW w:w="97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20">
              <w:r>
                <w:rPr>
                  <w:rFonts w:ascii="Arial" w:cs="Arial" w:eastAsia="Arial" w:hAnsi="Arial"/>
                  <w:sz w:val="18"/>
                  <w:szCs w:val="18"/>
                  <w:color w:val="0000FF"/>
                  <w:w w:val="89"/>
                </w:rPr>
                <w:t>Notes to Statements of Revenues and Direct Operating (Unaudited) Expenses for the Nine Months Ended September 30, 2012 and 2011</w:t>
              </w:r>
            </w:hyperlink>
          </w:p>
        </w:tc>
        <w:tc>
          <w:tcPr>
            <w:tcW w:w="1320" w:type="dxa"/>
            <w:vAlign w:val="bottom"/>
          </w:tcPr>
          <w:p>
            <w:pPr>
              <w:spacing w:after="0"/>
              <w:rPr>
                <w:sz w:val="21"/>
                <w:szCs w:val="21"/>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20">
              <w:r>
                <w:rPr>
                  <w:rFonts w:ascii="Arial" w:cs="Arial" w:eastAsia="Arial" w:hAnsi="Arial"/>
                  <w:sz w:val="18"/>
                  <w:szCs w:val="18"/>
                  <w:color w:val="0000FF"/>
                  <w:w w:val="88"/>
                </w:rPr>
                <w:t>F-8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22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80" w:right="180" w:hanging="145"/>
        <w:spacing w:after="0" w:line="277"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Diamondback Energy, Inc.’s Annual Report on Form 10-K filed with the Securities and Exchange Commission on March 1,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Gulfport Energy Corporation</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have audited the accompanying statements of revenues and direct operating expenses of working and revenue interests of certain oil and gas properties (the “Properties”) owned by Gulfport Energy Corporation (“Gulfport”) for the years ended December 31, 2011 and 2010. These statements are the responsibility of Gulfport’s management. Our responsibility is to express an opinion on these statements based on our audits.</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established by the American Institute of Certified Public Accountants. Those standards require that we plan and perform the audit to obtain reasonable assurance about whether the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Properties’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statements. We believe that our audits provide a reasonable basis for our opinion.</w:t>
      </w:r>
    </w:p>
    <w:p>
      <w:pPr>
        <w:spacing w:after="0" w:line="13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described in Note A, the accompanying statements are prepared for the purpose of complying with the rules and regulations of the Securities and Exchange Commission and is not intended to be a complete financial presentation.</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our opinion, the statements referred to above present fairly, in all material respects, the revenues and direct operating expenses as described in Note A for the years ended December 31, 2011 and 2010.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CERTAIN PROPERTY INTERESTS OF GULFPORT ENERGY CORPORATION STATEMENTS OF REVENUES AND DIRECT OPERATING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jc w:val="right"/>
              <w:ind w:right="870"/>
              <w:spacing w:after="0"/>
              <w:rPr>
                <w:sz w:val="20"/>
                <w:szCs w:val="20"/>
                <w:color w:val="auto"/>
              </w:rPr>
            </w:pPr>
            <w:r>
              <w:rPr>
                <w:rFonts w:ascii="Arial" w:cs="Arial" w:eastAsia="Arial" w:hAnsi="Arial"/>
                <w:sz w:val="18"/>
                <w:szCs w:val="18"/>
                <w:b w:val="1"/>
                <w:bCs w:val="1"/>
                <w:color w:val="auto"/>
                <w:w w:val="84"/>
              </w:rPr>
              <w:t>2010</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23,052,000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14,088,000</w:t>
            </w:r>
          </w:p>
        </w:tc>
        <w:tc>
          <w:tcPr>
            <w:tcW w:w="0" w:type="dxa"/>
            <w:vAlign w:val="bottom"/>
          </w:tcPr>
          <w:p>
            <w:pPr>
              <w:spacing w:after="0"/>
              <w:rPr>
                <w:sz w:val="1"/>
                <w:szCs w:val="1"/>
                <w:color w:val="auto"/>
              </w:rPr>
            </w:pPr>
          </w:p>
        </w:tc>
      </w:tr>
      <w:tr>
        <w:trPr>
          <w:trHeight w:val="36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Direct operating expenses</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1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5,484,000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2,375,000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Production taxes</w:t>
            </w:r>
          </w:p>
        </w:tc>
        <w:tc>
          <w:tcPr>
            <w:tcW w:w="13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1,276,000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806,000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operating expenses</w:t>
            </w:r>
          </w:p>
        </w:tc>
        <w:tc>
          <w:tcPr>
            <w:tcW w:w="1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6,760,000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3,181,000</w:t>
            </w:r>
          </w:p>
        </w:tc>
        <w:tc>
          <w:tcPr>
            <w:tcW w:w="0" w:type="dxa"/>
            <w:vAlign w:val="bottom"/>
          </w:tcPr>
          <w:p>
            <w:pPr>
              <w:spacing w:after="0"/>
              <w:rPr>
                <w:sz w:val="1"/>
                <w:szCs w:val="1"/>
                <w:color w:val="auto"/>
              </w:rPr>
            </w:pPr>
          </w:p>
        </w:tc>
      </w:tr>
      <w:tr>
        <w:trPr>
          <w:trHeight w:val="37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Revenues in excess of direct operating expenses</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16,292,000</w:t>
            </w:r>
          </w:p>
        </w:tc>
        <w:tc>
          <w:tcPr>
            <w:tcW w:w="12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10,907,000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PROPERTY INTERESTS OF</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GULFPORT ENERGY CORPORATION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2011 AND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w:t>
      </w:r>
    </w:p>
    <w:p>
      <w:pPr>
        <w:spacing w:after="0" w:line="81"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The accompanying statements present the revenues and direct operating expenses of working and revenue interests of certain oil and natural gas properties located in the Permian Basin of West Texas (the “Properties”) owned by Gulfport Energy Corporation (“Gulfport”) for the years ended December 31, 2011 and 2010.</w:t>
      </w:r>
    </w:p>
    <w:p>
      <w:pPr>
        <w:spacing w:after="0" w:line="14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4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B—SIGNIFICANT ACCOUNTING POLICIES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and reserve quantities. It is emphasized that reserve estimates are inherently imprecise and that estimates of new discoveries are more imprecise than those of producing oil and gas properties. Actual results could materially differ from these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Oil and natural gas revenues are recorded when title passes to the purchaser, net of royalty interests, discounts and allowances, as applicable.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C—SUPPLEMENTAL OIL AND GAS RESERVE INFORMATION (UNAUDITED)</w:t>
      </w:r>
    </w:p>
    <w:p>
      <w:pPr>
        <w:spacing w:after="0" w:line="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proved oil and gas reserves attributable to the Properties consist of the estimated quantities of crude oil and natural gas that geological and engineering data demonstrate with reasonable certainty to be recoverable in future years from known reservoirs under existing economic and operating conditions. The weighted average prices used for reserve report purposes are $96.19 and $4.12 for December 31, 2011 and $79.43 and $4.38 at December 31, 2010, adjusted for transportation fees and regional price differentials, for oil and natural gas reserves, respectively. The following estimates of proved reserves have been made by the independent engineering firms of Ryder Scott Company L.P. and Pinnacle Energy Services, LLC based on the Gulfport’s net revenue interest for 2011 and 2010, respectively.</w:t>
      </w:r>
    </w:p>
    <w:p>
      <w:pPr>
        <w:spacing w:after="0" w:line="15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Oil and gas reserve quantity estimates are subject to numerous uncertainties inherent in the estimation quantities of proved reserves and in the projection of future rates of production and the timing of development expenditures. The accuracy of such estimates is a function of the quality of available data and of engineering and geological interpretation and judgment. Results of subsequent drilling, testing and production may cause either upward or downward revision of previous estimates. Further, the volumes considered to be commercially recoverable fluctuate with changes in prices and operating costs. Reserve estimates are inherently imprecise and that estimates of new discoveries are more imprecise than those of currently producing oil and gas properties. Accordingly, these estimates are expected to change as additional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PROPERTY INTERESTS OF</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GULFPORT ENERGY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2010 -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7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11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Oil</w:t>
            </w: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Gas</w:t>
            </w:r>
          </w:p>
        </w:tc>
        <w:tc>
          <w:tcPr>
            <w:tcW w:w="1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Oil</w:t>
            </w: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Gas</w:t>
            </w:r>
          </w:p>
        </w:tc>
      </w:tr>
      <w:tr>
        <w:trPr>
          <w:trHeight w:val="270"/>
        </w:trPr>
        <w:tc>
          <w:tcPr>
            <w:tcW w:w="5620" w:type="dxa"/>
            <w:vAlign w:val="bottom"/>
          </w:tcPr>
          <w:p>
            <w:pPr>
              <w:spacing w:after="0"/>
              <w:rPr>
                <w:sz w:val="23"/>
                <w:szCs w:val="23"/>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6"/>
              </w:rPr>
              <w:t>(MBbls)</w:t>
            </w: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(MMcf)</w:t>
            </w:r>
          </w:p>
        </w:tc>
        <w:tc>
          <w:tcPr>
            <w:tcW w:w="17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(MBbls)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(MMcf)</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Beginning of the period</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11,926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10,894</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in oil and gas reserves in place</w:t>
            </w:r>
          </w:p>
        </w:tc>
        <w:tc>
          <w:tcPr>
            <w:tcW w:w="17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of prior reserve estimates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Current production</w:t>
            </w:r>
          </w:p>
        </w:tc>
        <w:tc>
          <w:tcPr>
            <w:tcW w:w="13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5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12,047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11,926</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2"/>
        </w:trPr>
        <w:tc>
          <w:tcPr>
            <w:tcW w:w="5620" w:type="dxa"/>
            <w:vAlign w:val="bottom"/>
          </w:tcPr>
          <w:p>
            <w:pPr>
              <w:ind w:left="380"/>
              <w:spacing w:after="0"/>
              <w:rPr>
                <w:sz w:val="20"/>
                <w:szCs w:val="20"/>
                <w:color w:val="auto"/>
              </w:rPr>
            </w:pPr>
            <w:r>
              <w:rPr>
                <w:rFonts w:ascii="Arial" w:cs="Arial" w:eastAsia="Arial" w:hAnsi="Arial"/>
                <w:sz w:val="18"/>
                <w:szCs w:val="18"/>
                <w:color w:val="auto"/>
              </w:rPr>
              <w:t>Proved developed reserves</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2,803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3,050</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09"/>
        </w:trPr>
        <w:tc>
          <w:tcPr>
            <w:tcW w:w="5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Proved undeveloped reserves</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8,997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8,878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Proved developed reserves as of January 1, 2010 were 1,560 MBbls of oil and 2,009 MMcf of gas and proved undeveloped reserves as of January 1, 2010 were 8,203 MBbls of oil and 8,885 MMcf of gas.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7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standardized measure of discounted future net cash flows is computed by applying unweighted average first-of-the-month prices of oil and natural gas, adjusted for transportation fees and regional price differentials, to the estimated future production of proved oil and gas reserves less estimated future expenditures (based on certain prevailing economic conditions) to be incurred in developing and producing the proved reserves, discounted using a rate of 10 percent per year to reflect the estimated timing of the future cash flows. Income taxes are excluded because the property interests included represent only a portion of a business for which income taxes are not estimable.</w:t>
      </w:r>
    </w:p>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Discounted future cash flow estimates like those shown below are not intended to represent estimates of the fair value of oil and gas properties. Estimates of fair value would also take into account, among other things, probable and possible reserves, anticipated future oil and natural gas prices, changes in development and production costs and risks associated with future production. Because of these and other considerations, any estimate of fair value is necessarily subjective and imprecise.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flows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960,918,000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902,221,000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Future development and abandonment costs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(236,336,000)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(196,265,000)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production costs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(166,899,000)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(208,210,000)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Future production taxes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(50,235,000)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(46,605,000)</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5"/>
        </w:trPr>
        <w:tc>
          <w:tcPr>
            <w:tcW w:w="7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net cash flows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507,448,000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451,141,000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10% discount to reflect timing of cash flows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(305,160,000)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(289,035,000)</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5"/>
        </w:trPr>
        <w:tc>
          <w:tcPr>
            <w:tcW w:w="7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202,288,000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162,106,000</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PROPERTY INTERESTS OF</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GULFPORT ENERGY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standardized measure of discounted future net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transfers of oil and gas produced, net of production costs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(16,292,000)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(10,907,000)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72,822,000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49,867,000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(24,733,000)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(12,655,000)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Acquisition of oil and gas reserves in place</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81,901,000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29,432,000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84,971,000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Revisions of previous quantity estimates, less related production costs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(71,088,000)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(99,257,000)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 incurred that reduced future development costs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30,888,000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16,211,000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9,143,000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production rates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(42,389,000)</w:t>
            </w:r>
          </w:p>
        </w:tc>
      </w:tr>
      <w:tr>
        <w:trPr>
          <w:trHeight w:val="379"/>
        </w:trPr>
        <w:tc>
          <w:tcPr>
            <w:tcW w:w="7660" w:type="dxa"/>
            <w:vAlign w:val="bottom"/>
          </w:tcPr>
          <w:p>
            <w:pPr>
              <w:ind w:left="40"/>
              <w:spacing w:after="0"/>
              <w:rPr>
                <w:sz w:val="20"/>
                <w:szCs w:val="20"/>
                <w:color w:val="auto"/>
              </w:rPr>
            </w:pPr>
            <w:r>
              <w:rPr>
                <w:rFonts w:ascii="Arial" w:cs="Arial" w:eastAsia="Arial" w:hAnsi="Arial"/>
                <w:sz w:val="18"/>
                <w:szCs w:val="18"/>
                <w:color w:val="auto"/>
              </w:rPr>
              <w:t>Total change in standardized measure of discounted future net cash flows</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40,182,000</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70,674,000</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09"/>
        </w:trPr>
        <w:tc>
          <w:tcPr>
            <w:tcW w:w="7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162,106,000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91,432,000</w:t>
            </w:r>
          </w:p>
        </w:tc>
      </w:tr>
      <w:tr>
        <w:trPr>
          <w:trHeight w:val="379"/>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202,288,000</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162,106,000</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D—SUBSEQUENT EVENTS</w:t>
      </w:r>
    </w:p>
    <w:p>
      <w:pPr>
        <w:spacing w:after="0" w:line="8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Gulfport has evaluated the period after December 31, 2011 through April 24, 2012, the date the statements of revenues and direct operating expenses were available to be issued, noting no subsequent events or transactions that required recognition or disclosure in the statements of revenues and direct operating expenses.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3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CERTAIN PROPERTY INTERESTS OF</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640" w:type="dxa"/>
            <w:vAlign w:val="bottom"/>
            <w:gridSpan w:val="2"/>
          </w:tcPr>
          <w:p>
            <w:pPr>
              <w:jc w:val="center"/>
              <w:spacing w:after="0"/>
              <w:rPr>
                <w:sz w:val="20"/>
                <w:szCs w:val="20"/>
                <w:color w:val="auto"/>
              </w:rPr>
            </w:pPr>
            <w:r>
              <w:rPr>
                <w:rFonts w:ascii="Arial" w:cs="Arial" w:eastAsia="Arial" w:hAnsi="Arial"/>
                <w:sz w:val="18"/>
                <w:szCs w:val="18"/>
                <w:b w:val="1"/>
                <w:bCs w:val="1"/>
                <w:color w:val="auto"/>
              </w:rPr>
              <w:t>GULFPORT ENERGY CORPORATION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6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8"/>
              </w:rPr>
              <w:t>STATEMENTS OF REVENUES AND DIRECT OPERATING EXPENSES</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and natural gas sales</w:t>
            </w:r>
          </w:p>
        </w:tc>
        <w:tc>
          <w:tcPr>
            <w:tcW w:w="364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21,217,000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15,961,000</w:t>
            </w:r>
          </w:p>
        </w:tc>
        <w:tc>
          <w:tcPr>
            <w:tcW w:w="0" w:type="dxa"/>
            <w:vAlign w:val="bottom"/>
          </w:tcPr>
          <w:p>
            <w:pPr>
              <w:spacing w:after="0"/>
              <w:rPr>
                <w:sz w:val="1"/>
                <w:szCs w:val="1"/>
                <w:color w:val="auto"/>
              </w:rPr>
            </w:pPr>
          </w:p>
        </w:tc>
      </w:tr>
      <w:tr>
        <w:trPr>
          <w:trHeight w:val="365"/>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 operating expenses</w:t>
            </w: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2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6,359,000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3,774,000</w:t>
            </w:r>
          </w:p>
        </w:tc>
        <w:tc>
          <w:tcPr>
            <w:tcW w:w="0" w:type="dxa"/>
            <w:vAlign w:val="bottom"/>
          </w:tcPr>
          <w:p>
            <w:pPr>
              <w:spacing w:after="0"/>
              <w:rPr>
                <w:sz w:val="1"/>
                <w:szCs w:val="1"/>
                <w:color w:val="auto"/>
              </w:rPr>
            </w:pPr>
          </w:p>
        </w:tc>
      </w:tr>
      <w:tr>
        <w:trPr>
          <w:trHeight w:val="243"/>
        </w:trPr>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Production taxes</w:t>
            </w:r>
          </w:p>
        </w:tc>
        <w:tc>
          <w:tcPr>
            <w:tcW w:w="2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1,119,000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885,000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direct operating expenses</w:t>
            </w:r>
          </w:p>
        </w:tc>
        <w:tc>
          <w:tcPr>
            <w:tcW w:w="28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7,478,000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4,659,000</w:t>
            </w:r>
          </w:p>
        </w:tc>
        <w:tc>
          <w:tcPr>
            <w:tcW w:w="0" w:type="dxa"/>
            <w:vAlign w:val="bottom"/>
          </w:tcPr>
          <w:p>
            <w:pPr>
              <w:spacing w:after="0"/>
              <w:rPr>
                <w:sz w:val="1"/>
                <w:szCs w:val="1"/>
                <w:color w:val="auto"/>
              </w:rPr>
            </w:pPr>
          </w:p>
        </w:tc>
      </w:tr>
      <w:tr>
        <w:trPr>
          <w:trHeight w:val="379"/>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Revenues in excess of direct operating expenses</w:t>
            </w:r>
          </w:p>
        </w:tc>
        <w:tc>
          <w:tcPr>
            <w:tcW w:w="286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13,739,000</w:t>
            </w:r>
          </w:p>
        </w:tc>
        <w:tc>
          <w:tcPr>
            <w:tcW w:w="12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11,302,000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statements of revenues and direct operating expenses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08" w:right="2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PROPERTY INTERESTS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GULFPORT ENERGY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STATEMENTS OF REVENUES AND DIRECT OPERATING EXPENSES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2012 AND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statements of revenues and direct operating expenses have been prepared by Gulfport Energy Corporation (“Gulfport”) without audit, pursuant to the rules and regulations of the Securities and Exchange Commission, and reflect all adjustments which, in the opinion of management, are necessary for a fair presentation of the results for the interim periods, on a basis consistent with the annual audited statements of revenues and direct operating expenses. All such adjustments are of a normal recurring nature. Certain information, accounting policies, and footnote disclosures normally included in financial statements prepared in accordance with generally accepted accounting principles have been omitted pursuant to such rules and regulations, although the Company believes that the disclosures are adequate to make the information presented not misleading. These statements of revenues and direct operating expenses should be read in conjunction with the annual statements of revenues and direct operating expenses and notes. Results for the nine month period ended September 30, 2012 are not necessarily indicative of the results expected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accompanying statements present the revenues and direct operating expenses of working and revenue interests of certain oil and natural gas properties located in the Permian Basin of West Texas (the “Properties”) owned by Gulfport for the nine month periods ended September 30, 2012 and 2011.</w:t>
      </w:r>
    </w:p>
    <w:p>
      <w:pPr>
        <w:spacing w:after="0" w:line="12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accompanying statements of revenues and direct operating expenses are presented on the accrual basis of accounting and were derived from the historical accounting records of Gulfport. Such amounts may not be representative of future operations. The statements do not include depreciation, depletion and amortization, general and administrative expenses, income taxes or interest expense.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Historical financial statements reflecting financial position, results of operations and cash flows required by accounting principles generally accepted in the United States of America are not presented as such information is not readily available on an individual property basis. Accordingly, the historical statements of revenues and direct operating expenses of the Properties are presented in lieu of the financial statements required under Rule 3-05 of the Securities and Exchange Commission Regulation S-X.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preparation of the accompanying statements in conformity with generally accepted accounting principles requires making estimates and assumptions that affect the reported amounts of revenues and direct operating expenses during the reporting period. The estimates include oil and gas revenue accruals. Actual results could materially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Oil and natural gas revenues are recorded when title passes to the purchaser, net of royalty interests, discounts and allowances,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CERTAIN PROPERTY INTERESTS OF</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GULFPORT ENERGY CORPORATION</w:t>
      </w:r>
    </w:p>
    <w:p>
      <w:pPr>
        <w:spacing w:after="0" w:line="9" w:lineRule="exact"/>
        <w:rPr>
          <w:sz w:val="20"/>
          <w:szCs w:val="20"/>
          <w:color w:val="auto"/>
        </w:rPr>
      </w:pPr>
    </w:p>
    <w:p>
      <w:pPr>
        <w:jc w:val="center"/>
        <w:ind w:left="280" w:right="2300"/>
        <w:spacing w:after="0" w:line="255" w:lineRule="auto"/>
        <w:rPr>
          <w:sz w:val="20"/>
          <w:szCs w:val="20"/>
          <w:color w:val="auto"/>
        </w:rPr>
      </w:pPr>
      <w:r>
        <w:rPr>
          <w:rFonts w:ascii="Arial" w:cs="Arial" w:eastAsia="Arial" w:hAnsi="Arial"/>
          <w:sz w:val="18"/>
          <w:szCs w:val="18"/>
          <w:b w:val="1"/>
          <w:bCs w:val="1"/>
          <w:color w:val="auto"/>
        </w:rPr>
        <w:t>NOTES TO STATEMENTS OF REVENUES AND DIRECT OPERATING EXPENSES FOR THE NINE MONTHS ENDED SEPTEMBER 30, 2012 AND 2011 (CONTINUED)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CONTRIBUTION AGREEMENT</w:t>
      </w:r>
    </w:p>
    <w:p>
      <w:pPr>
        <w:spacing w:after="0" w:line="39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On May 7, 2012, Gulfport entered into a contribution agreement with Diamondback Energy, Inc., (“Diamondback”). Under the terms of the contribution agreement, Gulfport agreed to contribute to Diamondback, prior to the closing of the Diamondback initial public offering (“Diamondback IPO”), all its oil and gas interests in the Properties in exchange for (i) shares of common stock representing 35% of Diamondback’s outstanding common stock immediately prior to the closing of the Diamondback IPO and (ii) $63,590,050 in the form of a non-interest bearing promissory note, which was repaid in full upon the closing of the Diamondback IPO with a portion of the net proceeds from that offering. On October 11, 2012, the contribution was completed. The aggregate consideration payable to Gulfport was subject to a post-closing cash adjustment of approximately $18.6 million based on changes in the working capital, long-term debt and other items of Diamondback O&amp;G LLC, formerly Windsor Permian LLC (“Diamondback O&amp;G”), as of the date of the contribution of which such amount was paid to Gulfport in January 2013. Diamondback O&amp;G, an entity controlled by Wexford Capital LP, was the operator of Gulfport’s acreage contributed and is a wholly-owned subsidiary of Diamondback. Under the contribution agreement, Gulfport is generally responsible for all liabilities and obligations with respect to the contributed properties arising prior to the contribution and Diamondback is responsible for such liabilities and obligations with respect to the contributed properties arising after the contribution.</w:t>
      </w:r>
    </w:p>
    <w:p>
      <w:pPr>
        <w:spacing w:after="0" w:line="305" w:lineRule="exact"/>
        <w:rPr>
          <w:sz w:val="20"/>
          <w:szCs w:val="20"/>
          <w:color w:val="auto"/>
        </w:rPr>
      </w:pPr>
    </w:p>
    <w:p>
      <w:pPr>
        <w:ind w:right="140" w:firstLine="446"/>
        <w:spacing w:after="0" w:line="269" w:lineRule="auto"/>
        <w:rPr>
          <w:sz w:val="20"/>
          <w:szCs w:val="20"/>
          <w:color w:val="auto"/>
        </w:rPr>
      </w:pPr>
      <w:r>
        <w:rPr>
          <w:rFonts w:ascii="Arial" w:cs="Arial" w:eastAsia="Arial" w:hAnsi="Arial"/>
          <w:sz w:val="17"/>
          <w:szCs w:val="17"/>
          <w:color w:val="auto"/>
        </w:rPr>
        <w:t>In connection with the contribution, Gulfport and Diamondback entered into an investor rights agreement under which Gulfport has the right, for so long as it beneficially owns more than 10% of Diamondback’s outstanding common stock, to designate one individual as a nominee to serve on Diamondback’s board of directors. Such nominee, if elected to Diamondback’s board, will also serve on each committee of the board so long as he or she satisfies the independence and other requirements for service on the applicable committee of the board. So long as Gulfport has the right to designate a nominee to Diamondback’s board and there is no Gulfport nominee actually serving as a Diamondback director, Gulfport will have the right to appoint one individual as an advisor to the board who shall be entitled to attend board and committee meetings. Gulfport is also entitled to certain information rights and Diamondback granted Gulfport certain demand and “piggyback” registration rights obligating Diamondback to register with the SEC any shares of Diamondback common stock that Gulfport owns. Immediately upon completion of the contribution, Gulfport owned a 35% equity interest in Diamondback, rather than leasehold interests in Gulfport’s Permian Basin acreage. Upon completion of the Diamondback IPO on October 17, 2012, Gulfport owned approximately 22.5% of Diamondback’s outstanding common stock. On October 18, 2012, the underwriters of the Diamondback IPO exercised in full their option to purchase additional shares of common stock of Diamondback and, upon the closing of such purchase on October 23, 2012, Gulfport owned approximately 21.4% of Diamondback’s outstanding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SUBSEQUENT EVENTS</w:t>
      </w:r>
    </w:p>
    <w:p>
      <w:pPr>
        <w:spacing w:after="0" w:line="229"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Gulfport has evaluated the period after September 30, 2012 through April 9, 2013, the date the statements of revenues and direct operating expenses were available to be issued, noting no subsequent events or transactions that required recognition or disclosure in the statements of revenues and direct operating expenses.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Table of Contents</w:t>
              </w:r>
            </w:hyperlink>
          </w:p>
        </w:tc>
        <w:tc>
          <w:tcPr>
            <w:tcW w:w="9960" w:type="dxa"/>
            <w:vAlign w:val="bottom"/>
          </w:tcPr>
          <w:p>
            <w:pPr>
              <w:spacing w:after="0"/>
              <w:rPr>
                <w:sz w:val="17"/>
                <w:szCs w:val="17"/>
                <w:color w:val="auto"/>
              </w:rPr>
            </w:pPr>
          </w:p>
        </w:tc>
      </w:tr>
      <w:tr>
        <w:trPr>
          <w:trHeight w:val="696"/>
        </w:trPr>
        <w:tc>
          <w:tcPr>
            <w:tcW w:w="1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tcPr>
          <w:p>
            <w:pPr>
              <w:ind w:left="2860"/>
              <w:spacing w:after="0"/>
              <w:rPr>
                <w:sz w:val="20"/>
                <w:szCs w:val="20"/>
                <w:color w:val="auto"/>
              </w:rPr>
            </w:pPr>
            <w:r>
              <w:rPr>
                <w:rFonts w:ascii="Arial" w:cs="Arial" w:eastAsia="Arial" w:hAnsi="Arial"/>
                <w:sz w:val="18"/>
                <w:szCs w:val="18"/>
                <w:color w:val="auto"/>
              </w:rPr>
              <w:t>Dealer Prospectus Delivery Obligation</w:t>
            </w:r>
          </w:p>
        </w:tc>
      </w:tr>
      <w:tr>
        <w:trPr>
          <w:trHeight w:val="432"/>
        </w:trPr>
        <w:tc>
          <w:tcPr>
            <w:tcW w:w="1460" w:type="dxa"/>
            <w:vAlign w:val="bottom"/>
            <w:gridSpan w:val="2"/>
          </w:tcPr>
          <w:p>
            <w:pPr>
              <w:ind w:left="660"/>
              <w:spacing w:after="0"/>
              <w:rPr>
                <w:sz w:val="20"/>
                <w:szCs w:val="20"/>
                <w:color w:val="auto"/>
              </w:rPr>
            </w:pPr>
            <w:r>
              <w:rPr>
                <w:rFonts w:ascii="Arial" w:cs="Arial" w:eastAsia="Arial" w:hAnsi="Arial"/>
                <w:sz w:val="18"/>
                <w:szCs w:val="18"/>
                <w:color w:val="auto"/>
              </w:rPr>
              <w:t>Until</w:t>
            </w:r>
          </w:p>
        </w:tc>
        <w:tc>
          <w:tcPr>
            <w:tcW w:w="9960" w:type="dxa"/>
            <w:vAlign w:val="bottom"/>
          </w:tcPr>
          <w:p>
            <w:pPr>
              <w:ind w:left="160"/>
              <w:spacing w:after="0"/>
              <w:rPr>
                <w:sz w:val="20"/>
                <w:szCs w:val="20"/>
                <w:color w:val="auto"/>
              </w:rPr>
            </w:pPr>
            <w:r>
              <w:rPr>
                <w:rFonts w:ascii="Arial" w:cs="Arial" w:eastAsia="Arial" w:hAnsi="Arial"/>
                <w:sz w:val="18"/>
                <w:szCs w:val="18"/>
                <w:color w:val="auto"/>
                <w:w w:val="90"/>
              </w:rPr>
              <w:t>, 2013 (25 days after commencement of this offering), all dealers that effect transactions in these securities, whether or not participating</w:t>
            </w:r>
          </w:p>
        </w:tc>
      </w:tr>
    </w:tbl>
    <w:p>
      <w:pPr>
        <w:jc w:val="both"/>
        <w:spacing w:after="0" w:line="261" w:lineRule="auto"/>
        <w:rPr>
          <w:sz w:val="20"/>
          <w:szCs w:val="20"/>
          <w:color w:val="auto"/>
        </w:rPr>
      </w:pPr>
      <w:r>
        <w:rPr>
          <w:rFonts w:ascii="Arial" w:cs="Arial" w:eastAsia="Arial" w:hAnsi="Arial"/>
          <w:sz w:val="18"/>
          <w:szCs w:val="18"/>
          <w:color w:val="auto"/>
        </w:rPr>
        <w:t>in this offering, may be required to deliver a prospectus. This is in addition to the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889000</wp:posOffset>
            </wp:positionV>
            <wp:extent cx="1852295" cy="900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2295" cy="90043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fees and expenses in connection with the issuance and distribution of the securities being registered 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SEC registration fee and FINRA filing fee, all amounts are estimates.</w:t>
      </w:r>
    </w:p>
    <w:p>
      <w:pPr>
        <w:spacing w:after="0" w:line="360"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r>
      <w:tr>
        <w:trPr>
          <w:trHeight w:val="243"/>
        </w:trPr>
        <w:tc>
          <w:tcPr>
            <w:tcW w:w="40" w:type="dxa"/>
            <w:vAlign w:val="bottom"/>
          </w:tcPr>
          <w:p>
            <w:pPr>
              <w:spacing w:after="0"/>
              <w:rPr>
                <w:sz w:val="21"/>
                <w:szCs w:val="21"/>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FINRA filing fee</w:t>
            </w:r>
          </w:p>
        </w:tc>
        <w:tc>
          <w:tcPr>
            <w:tcW w:w="1240" w:type="dxa"/>
            <w:vAlign w:val="bottom"/>
          </w:tcPr>
          <w:p>
            <w:pPr>
              <w:jc w:val="right"/>
              <w:spacing w:after="0"/>
              <w:rPr>
                <w:sz w:val="20"/>
                <w:szCs w:val="20"/>
                <w:color w:val="auto"/>
              </w:rPr>
            </w:pPr>
            <w:r>
              <w:rPr>
                <w:rFonts w:ascii="Arial" w:cs="Arial" w:eastAsia="Arial" w:hAnsi="Arial"/>
                <w:sz w:val="18"/>
                <w:szCs w:val="18"/>
                <w:color w:val="auto"/>
              </w:rPr>
              <w:t>17,750</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Legal fees and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Transfer agent fees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90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231F20"/>
            </w:tcBorders>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r>
        <w:trPr>
          <w:trHeight w:val="129"/>
        </w:trPr>
        <w:tc>
          <w:tcPr>
            <w:tcW w:w="4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7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358"/>
        </w:trPr>
        <w:tc>
          <w:tcPr>
            <w:tcW w:w="40" w:type="dxa"/>
            <w:vAlign w:val="bottom"/>
          </w:tcPr>
          <w:p>
            <w:pPr>
              <w:spacing w:after="0"/>
              <w:rPr>
                <w:sz w:val="24"/>
                <w:szCs w:val="24"/>
                <w:color w:val="auto"/>
              </w:rPr>
            </w:pPr>
          </w:p>
        </w:tc>
        <w:tc>
          <w:tcPr>
            <w:tcW w:w="9080" w:type="dxa"/>
            <w:vAlign w:val="bottom"/>
            <w:gridSpan w:val="2"/>
          </w:tcPr>
          <w:p>
            <w:pPr>
              <w:ind w:left="40"/>
              <w:spacing w:after="0"/>
              <w:rPr>
                <w:sz w:val="20"/>
                <w:szCs w:val="20"/>
                <w:color w:val="auto"/>
              </w:rPr>
            </w:pPr>
            <w:r>
              <w:rPr>
                <w:rFonts w:ascii="Arial" w:cs="Arial" w:eastAsia="Arial" w:hAnsi="Arial"/>
                <w:sz w:val="18"/>
                <w:szCs w:val="18"/>
                <w:color w:val="auto"/>
              </w:rPr>
              <w:t>*  To be completed by amendment</w:t>
            </w:r>
          </w:p>
        </w:tc>
        <w:tc>
          <w:tcPr>
            <w:tcW w:w="12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102(b)(7) of the Delaware General Corporation Law, or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81" w:lineRule="exact"/>
        <w:rPr>
          <w:sz w:val="20"/>
          <w:szCs w:val="20"/>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17" w:lineRule="exact"/>
        <w:rPr>
          <w:rFonts w:ascii="Arial" w:cs="Arial" w:eastAsia="Arial" w:hAnsi="Arial"/>
          <w:sz w:val="18"/>
          <w:szCs w:val="18"/>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17" w:lineRule="exact"/>
        <w:rPr>
          <w:rFonts w:ascii="Arial" w:cs="Arial" w:eastAsia="Arial" w:hAnsi="Arial"/>
          <w:sz w:val="18"/>
          <w:szCs w:val="18"/>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Section 102(b)(7) of the DGCL, Section 9.1 of our certificate of incorporation provides that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i.e., 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provides that we will, to the fullest extent authorized or permitted by applicable law, indemnify our current and former directors and officers,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also permits us, to the extent and in the manner authorized or permitted by law, to indemnify and to advance expenses to persons other that those specifically covered by our certificate of incorporation.</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bylaws include the provisions relating to advancement of expenses and indemnification rights consistent with those set forth in our certificate of incorporation. In addition, our bylaws provide for a right of indemnitee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Underwriting Agreement, the underwriters are obligated, under certain circumstances, to indemnify directors and officers of the registrant against certain liabilities, including liabilities under the Securities Act of 1933, as amended, or the Securities Act. Reference is made to the form of Underwriting Agreement to be filed as Exhibit 1.1 to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connection with the merger of Diamondback Energy LLC with and into Diamondback Energy, Inc. on October 11, 2012, we issued 14,697,496 shares of our common stock to DB Energy Holdings LLC. In addition, on October 11, 2012, we issued 7,914,036 shares of our common stock to Gulfport Energy Corporation in connection with the Gulfport contribution.</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shares of our common stock described in this Item 15 were issued in reliance upon the exemption from the registration requirements of the Securities Act provided by Section 4(a)(2) of the Securities Act as sales by an issuer not involving any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color w:val="auto"/>
              </w:rPr>
              <w:t>1.1**</w:t>
            </w:r>
          </w:p>
        </w:tc>
        <w:tc>
          <w:tcPr>
            <w:tcW w:w="9360" w:type="dxa"/>
            <w:vAlign w:val="bottom"/>
          </w:tcPr>
          <w:p>
            <w:pPr>
              <w:ind w:left="8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3.1</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Amended and Restated Certificate of Incorporation of the Company (incorporated by reference to Exhibit 3.1 to the Form 10-Q,</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File No. 001-35700, filed by the Company 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3.2</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Bylaws of the Company (incorporated by reference to Exhibit 3.2 to the Form 10-Q, File No. 001-</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35700, filed by the Company 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4.1</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Specimen certificate for shares of common stock, par value $0.01 per share, of the Company (incorporated by reference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Exhibit 4.1 to Amendment No. 4 to the Registration Statement on Form S-1, File No. 333-179502,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4.2</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Registration Rights Agreement, dated as of October 11, 2012, by and between the Company and DB Energy Holdings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4.2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4.3</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Investor Rights Agreement, dated as of October 11, 2012, by and between the Company and Gulfport Energy Corporation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4.3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5.1**</w:t>
            </w:r>
          </w:p>
        </w:tc>
        <w:tc>
          <w:tcPr>
            <w:tcW w:w="9360" w:type="dxa"/>
            <w:vAlign w:val="bottom"/>
          </w:tcPr>
          <w:p>
            <w:pPr>
              <w:ind w:left="80"/>
              <w:spacing w:after="0"/>
              <w:rPr>
                <w:sz w:val="20"/>
                <w:szCs w:val="20"/>
                <w:color w:val="auto"/>
              </w:rPr>
            </w:pPr>
            <w:r>
              <w:rPr>
                <w:rFonts w:ascii="Arial" w:cs="Arial" w:eastAsia="Arial" w:hAnsi="Arial"/>
                <w:sz w:val="18"/>
                <w:szCs w:val="18"/>
                <w:color w:val="auto"/>
              </w:rPr>
              <w:t>Opinion of Akin Gump Strauss Hauer &amp; Feld LLP.</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Equity Incentive Plan (incorporated by reference to Exhibit 10.1 to the Form 10-Q, File No. 001-35700, filed by the Company</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w:t>
            </w:r>
          </w:p>
        </w:tc>
        <w:tc>
          <w:tcPr>
            <w:tcW w:w="9360" w:type="dxa"/>
            <w:vAlign w:val="bottom"/>
          </w:tcPr>
          <w:p>
            <w:pPr>
              <w:ind w:left="80"/>
              <w:spacing w:after="0"/>
              <w:rPr>
                <w:sz w:val="20"/>
                <w:szCs w:val="20"/>
                <w:color w:val="auto"/>
              </w:rPr>
            </w:pPr>
            <w:r>
              <w:rPr>
                <w:rFonts w:ascii="Arial" w:cs="Arial" w:eastAsia="Arial" w:hAnsi="Arial"/>
                <w:sz w:val="18"/>
                <w:szCs w:val="18"/>
                <w:color w:val="auto"/>
                <w:w w:val="99"/>
              </w:rPr>
              <w:t>Form of Stock Option Agreement (incorporated by reference to Exhibit 10.13 to Amendment No. 4 to the Registration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Form of Restricted Stock Unit Agreement (incorporated by reference to Exhibit 10.14 to Amendment No. 4 to the Registration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10.4†</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Form of Director and Officer Indemnification Agreement (incorporated by reference to Exhibit 10.15 to Amendment No. 4 to</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7"/>
              </w:rPr>
              <w:t>the Registration 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10.5</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Advisory Services Agreement, dated as of October 11, 2012, by and between Diamondback Energy, Inc. and Wexford Capital</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LP (incorporated by reference to Exhibit 10.4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10.6</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Merger Agreement, dated as of October 11, 2012, by and between the Company and Diamondback Energy LLC (incorporated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6"/>
              </w:rPr>
              <w:t>by reference to Exhibit 10.5 to the Form 10-Q, File No. 001-35700, filed by the Company with the SEC on November 16,</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10.7†</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Employment Agreement, dated as of August 20, 2012, by and between Travis Stice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10.29 to Amendment No. 5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October 2, 2012).</w:t>
            </w: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82"/>
        </w:trPr>
        <w:tc>
          <w:tcPr>
            <w:tcW w:w="1120" w:type="dxa"/>
            <w:vAlign w:val="bottom"/>
          </w:tcPr>
          <w:p>
            <w:pPr>
              <w:ind w:left="40"/>
              <w:spacing w:after="0"/>
              <w:rPr>
                <w:sz w:val="20"/>
                <w:szCs w:val="20"/>
                <w:color w:val="auto"/>
              </w:rPr>
            </w:pPr>
            <w:r>
              <w:rPr>
                <w:rFonts w:ascii="Arial" w:cs="Arial" w:eastAsia="Arial" w:hAnsi="Arial"/>
                <w:sz w:val="18"/>
                <w:szCs w:val="18"/>
                <w:color w:val="auto"/>
              </w:rPr>
              <w:t>10.8†</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 by and between Travis Stice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10.3 to the Form 8-K,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Employment Agreement, dated as of January 1, 2012, by and between Teresa Dick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10.30 to Amendment No. 3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10.10†</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 by and between Teresa Dick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10.4 to the Form 8-K,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10.11†</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Amended and Restated Employment Agreement, dated as of January 1, 2012, by and between Jeff White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10.31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10.12†</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Amended and Restated Employment Agreement, dated as of January 1, 2012, by and between Jeff White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10.31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10.13</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Amended and Restated Credit Agreement, dated July 24, 2012, by and among Diamondback Energy LLC, as borrower, Wells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Fargo Bank, N.A., as administrative agent, and the lenders party thereto (incorporated by reference to Exhibit 10.33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10.14</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First Amendment to Credit Agreement, dated July 31, 2012, by and among Diamondback Energy LLC, as borrower, Wells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Fargo Bank, N.A., as administrative agent, and the lenders party thereto (incorporated by reference to Exhibit 10.34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10.15</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Lease Agreement, dated as of April 19, 2011, by and between Fasken Midland, LLC and Windsor Permian LLC (incorporated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by reference to Exhibit 10.7 to Amendment No. 2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June 11,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10.16</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Lease Amendment No. 1 to Lease Agreement, dated as of June 6, 2011,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10.8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10.17</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Lease Amendment No. 2 to Lease Agreement, dated as of August 5, 2011,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10.9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10.18</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Lease Amendment No. 3 to Lease Agreement, dated as of September 28, 2011, by and between Fasken Midland,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Windsor Permian LLC (incorporated by reference to Exhibit 10.10 to Amendment No. 1 to the Registration Statement on Form</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S-1, File 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10.19</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Lease Amendment No. 4 to Lease Agreement, dated February 6, 2012,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10.11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10.20</w:t>
            </w:r>
          </w:p>
        </w:tc>
        <w:tc>
          <w:tcPr>
            <w:tcW w:w="9360" w:type="dxa"/>
            <w:vAlign w:val="bottom"/>
          </w:tcPr>
          <w:p>
            <w:pPr>
              <w:ind w:left="80"/>
              <w:spacing w:after="0"/>
              <w:rPr>
                <w:sz w:val="20"/>
                <w:szCs w:val="20"/>
                <w:color w:val="auto"/>
              </w:rPr>
            </w:pPr>
            <w:r>
              <w:rPr>
                <w:rFonts w:ascii="Arial" w:cs="Arial" w:eastAsia="Arial" w:hAnsi="Arial"/>
                <w:sz w:val="18"/>
                <w:szCs w:val="18"/>
                <w:color w:val="auto"/>
              </w:rPr>
              <w:t>Lease Amendment No. 5 to Lease Agreement, dated as of July 25, 2012, by and between Fasken Midland,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Diamondback E&amp;P LLC (incorporated by reference to Exhibit 10.36 to Amendment No. 5 to the Registration Statement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Form S-1, File No. 333-179502, filed by the Company with the SEC on October 2,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10.21</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Contribution Agreement, dated May 7, 2012, by and between the Company and Gulfport Energy Corporation (incorporated by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reference to Exhibit 10.18 to Amendment No. 1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10.22</w:t>
            </w:r>
          </w:p>
        </w:tc>
        <w:tc>
          <w:tcPr>
            <w:tcW w:w="9360" w:type="dxa"/>
            <w:vAlign w:val="bottom"/>
          </w:tcPr>
          <w:p>
            <w:pPr>
              <w:ind w:left="80"/>
              <w:spacing w:after="0"/>
              <w:rPr>
                <w:sz w:val="20"/>
                <w:szCs w:val="20"/>
                <w:color w:val="auto"/>
              </w:rPr>
            </w:pPr>
            <w:r>
              <w:rPr>
                <w:rFonts w:ascii="Arial" w:cs="Arial" w:eastAsia="Arial" w:hAnsi="Arial"/>
                <w:sz w:val="18"/>
                <w:szCs w:val="18"/>
                <w:color w:val="auto"/>
                <w:w w:val="98"/>
              </w:rPr>
              <w:t>Master Drilling Agreement, dated January 1, 2012, by and between Windsor Permian LLC and Bison Drilling and Field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Services LLC (incorporated by reference to Exhibit 10.19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bl>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560"/>
          </w:cols>
          <w:pgMar w:left="240" w:top="125" w:right="109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82"/>
        </w:trPr>
        <w:tc>
          <w:tcPr>
            <w:tcW w:w="1120" w:type="dxa"/>
            <w:vAlign w:val="bottom"/>
          </w:tcPr>
          <w:p>
            <w:pPr>
              <w:ind w:left="40"/>
              <w:spacing w:after="0"/>
              <w:rPr>
                <w:sz w:val="20"/>
                <w:szCs w:val="20"/>
                <w:color w:val="auto"/>
              </w:rPr>
            </w:pPr>
            <w:r>
              <w:rPr>
                <w:rFonts w:ascii="Arial" w:cs="Arial" w:eastAsia="Arial" w:hAnsi="Arial"/>
                <w:sz w:val="18"/>
                <w:szCs w:val="18"/>
                <w:color w:val="auto"/>
              </w:rPr>
              <w:t>10.23</w:t>
            </w:r>
          </w:p>
        </w:tc>
        <w:tc>
          <w:tcPr>
            <w:tcW w:w="9360" w:type="dxa"/>
            <w:vAlign w:val="bottom"/>
          </w:tcPr>
          <w:p>
            <w:pPr>
              <w:ind w:left="80"/>
              <w:spacing w:after="0"/>
              <w:rPr>
                <w:sz w:val="20"/>
                <w:szCs w:val="20"/>
                <w:color w:val="auto"/>
              </w:rPr>
            </w:pPr>
            <w:r>
              <w:rPr>
                <w:rFonts w:ascii="Arial" w:cs="Arial" w:eastAsia="Arial" w:hAnsi="Arial"/>
                <w:sz w:val="18"/>
                <w:szCs w:val="18"/>
                <w:color w:val="auto"/>
                <w:w w:val="97"/>
              </w:rPr>
              <w:t>Gas Purchase Agreement, dated May 1, 2009, by and between Windsor Permian LLC and Feagan Gathering Company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10.20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10.24</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Amendment to Gas Purchase Agreement, dated July 1, 2011, by and between Windsor Permian LLC and MidMar Gas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10.21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10.25</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Amendment to Gas Purchase Agreement, dated January 11, 2012, by and between Windsor Permian LLC and MidMar Gas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10.22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10.26</w:t>
            </w:r>
          </w:p>
        </w:tc>
        <w:tc>
          <w:tcPr>
            <w:tcW w:w="9360" w:type="dxa"/>
            <w:vAlign w:val="bottom"/>
          </w:tcPr>
          <w:p>
            <w:pPr>
              <w:ind w:left="80"/>
              <w:spacing w:after="0"/>
              <w:rPr>
                <w:sz w:val="20"/>
                <w:szCs w:val="20"/>
                <w:color w:val="auto"/>
              </w:rPr>
            </w:pPr>
            <w:r>
              <w:rPr>
                <w:rFonts w:ascii="Arial" w:cs="Arial" w:eastAsia="Arial" w:hAnsi="Arial"/>
                <w:sz w:val="18"/>
                <w:szCs w:val="18"/>
                <w:color w:val="auto"/>
                <w:w w:val="89"/>
              </w:rPr>
              <w:t>Shared Services Agreement, dated January 1, 2012 by and between Windsor Permian LLC and Everest Operations Management</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10.23 to Amendment No. 2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June 11,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10.27</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Subordinated note made by Windsor Permian LLC in favor of Lambda Investors LLC, dated May 14, 2012 (incorporated by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reference to Exhibit 10.23 to Amendment No. 2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June 11,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10.28</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First Amendment to Subordinated Note made by Windsor Permian LLC in favor of Lambda Investors LLC, dated September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28, 2012 (incorporated by reference to Exhibit 10.35 to Amendment No. 5 to the Registration Statement on Form S-1, File No.</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333-179502, filed by the Company with the SEC on October 2,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10.29</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Crude Oil Purchase Agreement, dated May 24, 2012, by and between Windsor Permian LLC and Shell Trading (US) Company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10.26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10.30</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Shared Services Agreement, dated as of March 1, 2008, by and between Windsor Energy Resources LLC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LLC (incorporated by reference to Exhibit 10.6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10.31</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Office Lease Agreement, dated June 8, 2012, by and between Windsor Permian LLC and Caliber Investment Group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10.27 to Amendment No. 3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10.32</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Assignment and Assumption of Office Lease Agreement, effective June 1, 2012, by and between Windsor Permian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Diamondback E&amp;P LLC (incorporated by reference to Exhibit 10.28 to Amendment No. 3 to the Registration Statement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Form S-1, File No. 333-179502,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10.33</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Master Drilling Agreement, effective as of January 1, 2013, by and between Diamondback E&amp;P LLC and Bison Drilling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Field Services LLC (incorporated by reference to Exhibit 10.1 to the Form 8-K, File No. 001-35700,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10.34</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Master Field Services Agreement, effective as of January 1, 2013, by and between Diamondback E&amp;P LLC and Bison Drilling</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and Field Services LLC (incorporated by reference to Exhibit 10.2 to the Form 8-K, File No. 001-35700, filed by the Company</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with the SEC on 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10.35</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to Master Field Services Agreement, dated as of February 21, 2013, by and between Diamondback E&amp;P LLC</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and Bison Drilling and Field Services LLC.</w:t>
            </w:r>
          </w:p>
        </w:tc>
      </w:tr>
      <w:tr>
        <w:trPr>
          <w:trHeight w:val="256"/>
        </w:trPr>
        <w:tc>
          <w:tcPr>
            <w:tcW w:w="1120" w:type="dxa"/>
            <w:vAlign w:val="bottom"/>
          </w:tcPr>
          <w:p>
            <w:pPr>
              <w:ind w:left="40"/>
              <w:spacing w:after="0"/>
              <w:rPr>
                <w:sz w:val="20"/>
                <w:szCs w:val="20"/>
                <w:color w:val="auto"/>
              </w:rPr>
            </w:pPr>
            <w:r>
              <w:rPr>
                <w:rFonts w:ascii="Arial" w:cs="Arial" w:eastAsia="Arial" w:hAnsi="Arial"/>
                <w:sz w:val="18"/>
                <w:szCs w:val="18"/>
                <w:color w:val="auto"/>
              </w:rPr>
              <w:t>10.36†</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Amended and Restated Employment Agreement dated as of August 20, 2012, by and between Michael Hollis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10.36 to the Form 10-K/A, file No. 001-357000,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April 10, 2013).</w:t>
            </w:r>
          </w:p>
        </w:tc>
      </w:tr>
      <w:tr>
        <w:trPr>
          <w:trHeight w:val="256"/>
        </w:trPr>
        <w:tc>
          <w:tcPr>
            <w:tcW w:w="1120" w:type="dxa"/>
            <w:vAlign w:val="bottom"/>
          </w:tcPr>
          <w:p>
            <w:pPr>
              <w:ind w:left="40"/>
              <w:spacing w:after="0"/>
              <w:rPr>
                <w:sz w:val="20"/>
                <w:szCs w:val="20"/>
                <w:color w:val="auto"/>
              </w:rPr>
            </w:pPr>
            <w:r>
              <w:rPr>
                <w:rFonts w:ascii="Arial" w:cs="Arial" w:eastAsia="Arial" w:hAnsi="Arial"/>
                <w:sz w:val="18"/>
                <w:szCs w:val="18"/>
                <w:color w:val="auto"/>
              </w:rPr>
              <w:t>10.37†</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2012 by and between Michael Hollis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4"/>
              </w:rPr>
              <w:t>(incorporated by reference to Exhibit 10.37 to the Form 10-K/A, file No. 001-357000,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April 10, 2013).</w:t>
            </w:r>
          </w:p>
        </w:tc>
      </w:tr>
      <w:tr>
        <w:trPr>
          <w:trHeight w:val="256"/>
        </w:trPr>
        <w:tc>
          <w:tcPr>
            <w:tcW w:w="1120" w:type="dxa"/>
            <w:vAlign w:val="bottom"/>
          </w:tcPr>
          <w:p>
            <w:pPr>
              <w:ind w:left="40"/>
              <w:spacing w:after="0"/>
              <w:rPr>
                <w:sz w:val="20"/>
                <w:szCs w:val="20"/>
                <w:color w:val="auto"/>
              </w:rPr>
            </w:pPr>
            <w:r>
              <w:rPr>
                <w:rFonts w:ascii="Arial" w:cs="Arial" w:eastAsia="Arial" w:hAnsi="Arial"/>
                <w:sz w:val="18"/>
                <w:szCs w:val="18"/>
                <w:color w:val="auto"/>
              </w:rPr>
              <w:t>10.38†</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Form of Amendment to Restricted Stock Unit Certificate (incorporated by reference to Exhibit 10.38 to the Form 10-K/A,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001-357000, filed by the Company with the SEC on April 10, 2013).</w:t>
            </w:r>
          </w:p>
        </w:tc>
      </w:tr>
      <w:tr>
        <w:trPr>
          <w:trHeight w:val="256"/>
        </w:trPr>
        <w:tc>
          <w:tcPr>
            <w:tcW w:w="1120" w:type="dxa"/>
            <w:vAlign w:val="bottom"/>
          </w:tcPr>
          <w:p>
            <w:pPr>
              <w:ind w:left="40"/>
              <w:spacing w:after="0"/>
              <w:rPr>
                <w:sz w:val="20"/>
                <w:szCs w:val="20"/>
                <w:color w:val="auto"/>
              </w:rPr>
            </w:pPr>
            <w:r>
              <w:rPr>
                <w:rFonts w:ascii="Arial" w:cs="Arial" w:eastAsia="Arial" w:hAnsi="Arial"/>
                <w:sz w:val="18"/>
                <w:szCs w:val="18"/>
                <w:color w:val="auto"/>
              </w:rPr>
              <w:t>10.39</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Lease Amendment No. 6 effective May 1, 2013 to Lease Agreement dated as of April 19, 2011, as amended, by and between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Fasken Midland, LLC and Windsor Permian LLC (incorporated by reference to Exhibit 10.39 to the Form 10-K/A, file No. 001-</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357000, filed by the Company with the SEC on April 10, 2013).</w:t>
            </w:r>
          </w:p>
        </w:tc>
      </w:tr>
    </w:tbl>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560"/>
          </w:cols>
          <w:pgMar w:left="240" w:top="125" w:right="109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color w:val="auto"/>
              </w:rPr>
              <w:t>21.1*</w:t>
            </w:r>
          </w:p>
        </w:tc>
        <w:tc>
          <w:tcPr>
            <w:tcW w:w="9360" w:type="dxa"/>
            <w:vAlign w:val="bottom"/>
          </w:tcPr>
          <w:p>
            <w:pPr>
              <w:ind w:left="80"/>
              <w:spacing w:after="0"/>
              <w:rPr>
                <w:sz w:val="20"/>
                <w:szCs w:val="20"/>
                <w:color w:val="auto"/>
              </w:rPr>
            </w:pPr>
            <w:r>
              <w:rPr>
                <w:rFonts w:ascii="Arial" w:cs="Arial" w:eastAsia="Arial" w:hAnsi="Arial"/>
                <w:sz w:val="18"/>
                <w:szCs w:val="18"/>
                <w:color w:val="auto"/>
              </w:rPr>
              <w:t>List of Significant Subsidiaries of the Company.</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23.1*</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23.2*</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23.3*</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Pinnacle Energy Services, LLC.</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23.4*</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Ryder Scott Company.</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23.5**</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Akin Gump Strauss Hauer &amp; Feld LLP (included in Exhibit 5.1).</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24.1*</w:t>
            </w:r>
          </w:p>
        </w:tc>
        <w:tc>
          <w:tcPr>
            <w:tcW w:w="9360" w:type="dxa"/>
            <w:vAlign w:val="bottom"/>
          </w:tcPr>
          <w:p>
            <w:pPr>
              <w:ind w:left="80"/>
              <w:spacing w:after="0"/>
              <w:rPr>
                <w:sz w:val="20"/>
                <w:szCs w:val="20"/>
                <w:color w:val="auto"/>
              </w:rPr>
            </w:pPr>
            <w:r>
              <w:rPr>
                <w:rFonts w:ascii="Arial" w:cs="Arial" w:eastAsia="Arial" w:hAnsi="Arial"/>
                <w:sz w:val="18"/>
                <w:szCs w:val="18"/>
                <w:color w:val="auto"/>
              </w:rPr>
              <w:t>Power of Attorney.</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10" w:lineRule="exact"/>
        <w:rPr>
          <w:rFonts w:ascii="Arial" w:cs="Arial" w:eastAsia="Arial" w:hAnsi="Arial"/>
          <w:sz w:val="18"/>
          <w:szCs w:val="18"/>
          <w:color w:val="auto"/>
        </w:rPr>
      </w:pPr>
    </w:p>
    <w:p>
      <w:pPr>
        <w:ind w:left="1080" w:hanging="424"/>
        <w:spacing w:after="0"/>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schedules are omitted because the required information is (i) not applicable, (ii) not present in amounts sufficient to require submission of the schedule or (iii) included in our financial statements and the accompanying notes incorporated by reference in the prospectus to this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hereby undertakes that:</w:t>
      </w:r>
    </w:p>
    <w:p>
      <w:pPr>
        <w:spacing w:after="0" w:line="225" w:lineRule="exact"/>
        <w:rPr>
          <w:sz w:val="20"/>
          <w:szCs w:val="20"/>
          <w:color w:val="auto"/>
        </w:rPr>
      </w:pPr>
    </w:p>
    <w:p>
      <w:pPr>
        <w:jc w:val="both"/>
        <w:ind w:firstLine="656"/>
        <w:spacing w:after="0" w:line="286" w:lineRule="auto"/>
        <w:tabs>
          <w:tab w:leader="none" w:pos="10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Midland, State of Texas, on April 10, 2013.</w:t>
      </w:r>
    </w:p>
    <w:p>
      <w:pPr>
        <w:spacing w:after="0" w:line="32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DIAMONDBACK ENERGY, INC.</w:t>
      </w:r>
    </w:p>
    <w:p>
      <w:pPr>
        <w:spacing w:after="0" w:line="29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272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MEN BY THESE PRESENT, that each person whose signature appears below constitutes and appoints Travis D. Stice, Teresa L. Dick and Randall J. Holder, and each of them, his or her true and lawful attorney-in-fact and agents, with full power of substitution and resubstitution, from such person and in each person’s name, place and stead, in any and all capacities, to sign any and all amendments (including post-effective amendments) to the Registration Statement, and to file the same, with all exhibits thereto and other documents in connection therewith, with the Securities and Exchange Commission and to sign and file any other registration statement for the same offering that is to be effective upon filing pursuant to Rule 462(b) under the Securities Act of 1933, as amended, granting unto said attorneys-in-fact and agents, full power and authority to do and perform each and every act and thing requisite and necessary to be done as fully to all said attorneys-in-fact and agents, or any of them, may lawfully do or cause to be done by virtue thereof.</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April 10, 2013.</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3"/>
          </w:tcPr>
          <w:p>
            <w:pPr>
              <w:ind w:left="2380"/>
              <w:spacing w:after="0"/>
              <w:rPr>
                <w:sz w:val="20"/>
                <w:szCs w:val="20"/>
                <w:color w:val="auto"/>
              </w:rPr>
            </w:pPr>
            <w:r>
              <w:rPr>
                <w:rFonts w:ascii="Arial" w:cs="Arial" w:eastAsia="Arial" w:hAnsi="Arial"/>
                <w:sz w:val="18"/>
                <w:szCs w:val="18"/>
                <w:b w:val="1"/>
                <w:bCs w:val="1"/>
                <w:color w:val="auto"/>
              </w:rPr>
              <w:t>Signature</w:t>
            </w:r>
          </w:p>
        </w:tc>
        <w:tc>
          <w:tcPr>
            <w:tcW w:w="5800" w:type="dxa"/>
            <w:vAlign w:val="bottom"/>
            <w:gridSpan w:val="3"/>
          </w:tcPr>
          <w:p>
            <w:pPr>
              <w:ind w:left="3120"/>
              <w:spacing w:after="0"/>
              <w:rPr>
                <w:sz w:val="20"/>
                <w:szCs w:val="20"/>
                <w:color w:val="auto"/>
              </w:rPr>
            </w:pPr>
            <w:r>
              <w:rPr>
                <w:rFonts w:ascii="Arial" w:cs="Arial" w:eastAsia="Arial" w:hAnsi="Arial"/>
                <w:sz w:val="18"/>
                <w:szCs w:val="18"/>
                <w:b w:val="1"/>
                <w:bCs w:val="1"/>
                <w:color w:val="auto"/>
              </w:rPr>
              <w:t>Title</w:t>
            </w:r>
          </w:p>
        </w:tc>
      </w:tr>
      <w:tr>
        <w:trPr>
          <w:trHeight w:val="20"/>
        </w:trPr>
        <w:tc>
          <w:tcPr>
            <w:tcW w:w="2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3"/>
        </w:trPr>
        <w:tc>
          <w:tcPr>
            <w:tcW w:w="2380" w:type="dxa"/>
            <w:vAlign w:val="bottom"/>
          </w:tcPr>
          <w:p>
            <w:pPr>
              <w:ind w:left="40"/>
              <w:spacing w:after="0"/>
              <w:rPr>
                <w:sz w:val="20"/>
                <w:szCs w:val="20"/>
                <w:color w:val="auto"/>
              </w:rPr>
            </w:pPr>
            <w:r>
              <w:rPr>
                <w:rFonts w:ascii="Arial" w:cs="Arial" w:eastAsia="Arial" w:hAnsi="Arial"/>
                <w:sz w:val="18"/>
                <w:szCs w:val="18"/>
                <w:color w:val="auto"/>
              </w:rPr>
              <w:t>/s/ Travis D. Stice</w:t>
            </w: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w w:val="98"/>
              </w:rPr>
              <w:t>Chief Executive Officer (Principal Executive Officer) and Director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w w:val="90"/>
              </w:rPr>
              <w:t>Chief Financial Officer, Senior Vice President, and Assistant Secretary</w:t>
            </w:r>
          </w:p>
        </w:tc>
      </w:tr>
      <w:tr>
        <w:trPr>
          <w:trHeight w:val="230"/>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rPr>
              <w:t>(Principal Financial and Accounting Officer)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 Michael P. Cross</w:t>
            </w: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Michael P. Cross</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 David L. Houston</w:t>
            </w: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David L. Houston</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/s/ Mark L. Plaumann</w:t>
            </w:r>
          </w:p>
        </w:tc>
        <w:tc>
          <w:tcPr>
            <w:tcW w:w="580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r>
      <w:tr>
        <w:trPr>
          <w:trHeight w:val="27"/>
        </w:trPr>
        <w:tc>
          <w:tcPr>
            <w:tcW w:w="2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7"/>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Mark L. Plaumann</w:t>
            </w: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360" w:type="dxa"/>
            <w:vAlign w:val="bottom"/>
          </w:tcPr>
          <w:p>
            <w:pPr>
              <w:ind w:left="3820"/>
              <w:spacing w:after="0"/>
              <w:rPr>
                <w:sz w:val="20"/>
                <w:szCs w:val="20"/>
                <w:color w:val="auto"/>
              </w:rPr>
            </w:pPr>
            <w:r>
              <w:rPr>
                <w:rFonts w:ascii="Arial" w:cs="Arial" w:eastAsia="Arial" w:hAnsi="Arial"/>
                <w:sz w:val="18"/>
                <w:szCs w:val="18"/>
                <w:b w:val="1"/>
                <w:bCs w:val="1"/>
                <w:color w:val="auto"/>
              </w:rPr>
              <w:t>EXHIBIT INDEX</w:t>
            </w:r>
          </w:p>
        </w:tc>
      </w:tr>
      <w:tr>
        <w:trPr>
          <w:trHeight w:val="60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97"/>
        </w:trPr>
        <w:tc>
          <w:tcPr>
            <w:tcW w:w="1120" w:type="dxa"/>
            <w:vAlign w:val="bottom"/>
          </w:tcPr>
          <w:p>
            <w:pPr>
              <w:ind w:left="40"/>
              <w:spacing w:after="0"/>
              <w:rPr>
                <w:sz w:val="20"/>
                <w:szCs w:val="20"/>
                <w:color w:val="auto"/>
              </w:rPr>
            </w:pPr>
            <w:r>
              <w:rPr>
                <w:rFonts w:ascii="Arial" w:cs="Arial" w:eastAsia="Arial" w:hAnsi="Arial"/>
                <w:sz w:val="18"/>
                <w:szCs w:val="18"/>
                <w:color w:val="auto"/>
              </w:rPr>
              <w:t>1.1**</w:t>
            </w:r>
          </w:p>
        </w:tc>
        <w:tc>
          <w:tcPr>
            <w:tcW w:w="9360" w:type="dxa"/>
            <w:vAlign w:val="bottom"/>
          </w:tcPr>
          <w:p>
            <w:pPr>
              <w:ind w:left="8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3.1</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Amended and Restated Certificate of Incorporation of the Company (incorporated by reference to Exhibit 3.1 to the Form 10-Q,</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File No. 001-35700, filed by the Company 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3.2</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Bylaws of the Company (incorporated by reference to Exhibit 3.2 to the Form 10-Q, File No. 001-</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35700, filed by the Company 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4.1</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Specimen certificate for shares of common stock, par value $0.01 per share, of the Company (incorporated by reference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Exhibit 4.1 to Amendment No. 4 to the Registration Statement on Form S-1, File No. 333-179502,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4.2</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Registration Rights Agreement, dated as of October 11, 2012, by and between the Company and DB Energy Holdings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4.2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4.3</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Investor Rights Agreement, dated as of October 11, 2012, by and between the Company and Gulfport Energy Corporation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4.3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5.1**</w:t>
            </w:r>
          </w:p>
        </w:tc>
        <w:tc>
          <w:tcPr>
            <w:tcW w:w="9360" w:type="dxa"/>
            <w:vAlign w:val="bottom"/>
          </w:tcPr>
          <w:p>
            <w:pPr>
              <w:ind w:left="80"/>
              <w:spacing w:after="0"/>
              <w:rPr>
                <w:sz w:val="20"/>
                <w:szCs w:val="20"/>
                <w:color w:val="auto"/>
              </w:rPr>
            </w:pPr>
            <w:r>
              <w:rPr>
                <w:rFonts w:ascii="Arial" w:cs="Arial" w:eastAsia="Arial" w:hAnsi="Arial"/>
                <w:sz w:val="18"/>
                <w:szCs w:val="18"/>
                <w:color w:val="auto"/>
              </w:rPr>
              <w:t>Opinion of Akin Gump Strauss Hauer &amp; Feld LLP.</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Equity Incentive Plan (incorporated by reference to Exhibit 10.1 to the Form 10-Q, File No. 001-35700, filed by the Company</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with the SEC on 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w:t>
            </w:r>
          </w:p>
        </w:tc>
        <w:tc>
          <w:tcPr>
            <w:tcW w:w="9360" w:type="dxa"/>
            <w:vAlign w:val="bottom"/>
          </w:tcPr>
          <w:p>
            <w:pPr>
              <w:ind w:left="80"/>
              <w:spacing w:after="0"/>
              <w:rPr>
                <w:sz w:val="20"/>
                <w:szCs w:val="20"/>
                <w:color w:val="auto"/>
              </w:rPr>
            </w:pPr>
            <w:r>
              <w:rPr>
                <w:rFonts w:ascii="Arial" w:cs="Arial" w:eastAsia="Arial" w:hAnsi="Arial"/>
                <w:sz w:val="18"/>
                <w:szCs w:val="18"/>
                <w:color w:val="auto"/>
                <w:w w:val="99"/>
              </w:rPr>
              <w:t>Form of Stock Option Agreement (incorporated by reference to Exhibit 10.13 to Amendment No. 4 to the Registration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Form of Restricted Stock Unit Agreement (incorporated by reference to Exhibit 10.14 to Amendment No. 4 to the Registration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10.4†</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Form of Director and Officer Indemnification Agreement (incorporated by reference to Exhibit 10.15 to Amendment No. 4 to</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7"/>
              </w:rPr>
              <w:t>the Registration Statement on Form S-1, File No. 333-179502,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10.5</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Advisory Services Agreement, dated as of October 11, 2012, by and between Diamondback Energy, Inc. and Wexford Capital</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LP (incorporated by reference to Exhibit 10.4 to the Form 10-Q,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November 16,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10.6</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Merger Agreement, dated as of October 11, 2012, by and between the Company and Diamondback Energy LLC (incorporated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6"/>
              </w:rPr>
              <w:t>by reference to Exhibit 10.5 to the Form 10-Q, File No. 001-35700, filed by the Company with the SEC on November 16,</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10.7†</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Employment Agreement, dated as of August 20, 2012, by and between Travis Stice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10.29 to Amendment No. 5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October 2,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10.8†</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 by and between Travis Stice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10.3 to the Form 8-K,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Amended and Restated Employment Agreement, dated as of January 1, 2012, by and between Teresa Dick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10.30 to Amendment No. 3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10.10†</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2012 by and between Teresa Dick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(incorporated by reference to Exhibit 10.4 to the Form 8-K, File No. 001-35700,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10.11†</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Amended and Restated Employment Agreement, dated as of January 1, 2012, by and between Jeff White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10.31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486"/>
        </w:trPr>
        <w:tc>
          <w:tcPr>
            <w:tcW w:w="1120" w:type="dxa"/>
            <w:vAlign w:val="bottom"/>
          </w:tcPr>
          <w:p>
            <w:pPr>
              <w:spacing w:after="0"/>
              <w:rPr>
                <w:sz w:val="24"/>
                <w:szCs w:val="24"/>
                <w:color w:val="auto"/>
              </w:rPr>
            </w:pPr>
          </w:p>
        </w:tc>
        <w:tc>
          <w:tcPr>
            <w:tcW w:w="9360" w:type="dxa"/>
            <w:vAlign w:val="bottom"/>
          </w:tcPr>
          <w:p>
            <w:pPr>
              <w:ind w:left="4380"/>
              <w:spacing w:after="0"/>
              <w:rPr>
                <w:sz w:val="20"/>
                <w:szCs w:val="20"/>
                <w:color w:val="auto"/>
              </w:rPr>
            </w:pPr>
            <w:r>
              <w:rPr>
                <w:rFonts w:ascii="Arial" w:cs="Arial" w:eastAsia="Arial" w:hAnsi="Arial"/>
                <w:sz w:val="18"/>
                <w:szCs w:val="18"/>
                <w:color w:val="auto"/>
              </w:rPr>
              <w:t>E-1</w:t>
            </w:r>
          </w:p>
        </w:tc>
      </w:tr>
    </w:tbl>
    <w:p>
      <w:pPr>
        <w:sectPr>
          <w:pgSz w:w="11900" w:h="16838" w:orient="portrait"/>
          <w:cols w:equalWidth="0" w:num="1">
            <w:col w:w="10560"/>
          </w:cols>
          <w:pgMar w:left="240" w:top="125" w:right="109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82"/>
        </w:trPr>
        <w:tc>
          <w:tcPr>
            <w:tcW w:w="1120" w:type="dxa"/>
            <w:vAlign w:val="bottom"/>
          </w:tcPr>
          <w:p>
            <w:pPr>
              <w:ind w:left="40"/>
              <w:spacing w:after="0"/>
              <w:rPr>
                <w:sz w:val="20"/>
                <w:szCs w:val="20"/>
                <w:color w:val="auto"/>
              </w:rPr>
            </w:pPr>
            <w:r>
              <w:rPr>
                <w:rFonts w:ascii="Arial" w:cs="Arial" w:eastAsia="Arial" w:hAnsi="Arial"/>
                <w:sz w:val="18"/>
                <w:szCs w:val="18"/>
                <w:color w:val="auto"/>
              </w:rPr>
              <w:t>10.12†</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Amended and Restated Employment Agreement, dated as of January 1, 2012, by and between Jeff White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10.31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10.13</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Amended and Restated Credit Agreement, dated July 24, 2012, by and among Diamondback Energy LLC, as borrower, Wells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Fargo Bank, N.A., as administrative agent, and the lenders party thereto (incorporated by reference to Exhibit 10.33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10.14</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First Amendment to Credit Agreement, dated July 31, 2012, by and among Diamondback Energy LLC, as borrower, Wells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Fargo Bank, N.A., as administrative agent, and the lenders party thereto (incorporated by reference to Exhibit 10.34 to</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Amendment No. 4 to the Registration Statement on Form S-1, File No. 333-179502,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10.15</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Lease Agreement, dated as of April 19, 2011, by and between Fasken Midland, LLC and Windsor Permian LLC (incorporated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by reference to Exhibit 10.7 to Amendment No. 2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June 11,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10.16</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Lease Amendment No. 1 to Lease Agreement, dated as of June 6, 2011,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10.8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10.17</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Lease Amendment No. 2 to Lease Agreement, dated as of August 5, 2011,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10.9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10.18</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Lease Amendment No. 3 to Lease Agreement, dated as of September 28, 2011, by and between Fasken Midland,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Windsor Permian LLC (incorporated by reference to Exhibit 10.10 to Amendment No. 1 to the Registration Statement on Form</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S-1, File 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10.19</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Lease Amendment No. 4 to Lease Agreement, dated February 6, 2012, by and between Fasken Midland, LLC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Permian LLC (incorporated by reference to Exhibit 10.11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10.20</w:t>
            </w:r>
          </w:p>
        </w:tc>
        <w:tc>
          <w:tcPr>
            <w:tcW w:w="9360" w:type="dxa"/>
            <w:vAlign w:val="bottom"/>
          </w:tcPr>
          <w:p>
            <w:pPr>
              <w:ind w:left="80"/>
              <w:spacing w:after="0"/>
              <w:rPr>
                <w:sz w:val="20"/>
                <w:szCs w:val="20"/>
                <w:color w:val="auto"/>
              </w:rPr>
            </w:pPr>
            <w:r>
              <w:rPr>
                <w:rFonts w:ascii="Arial" w:cs="Arial" w:eastAsia="Arial" w:hAnsi="Arial"/>
                <w:sz w:val="18"/>
                <w:szCs w:val="18"/>
                <w:color w:val="auto"/>
              </w:rPr>
              <w:t>Lease Amendment No. 5 to Lease Agreement, dated as of July 25, 2012, by and between Fasken Midland,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Diamondback E&amp;P LLC (incorporated by reference to Exhibit 10.36 to Amendment No. 5 to the Registration Statement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Form S-1, File No. 333-179502, filed by the Company with the SEC on October 2,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10.21</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Contribution Agreement, dated May 7, 2012, by and between the Company and Gulfport Energy Corporation (incorporated by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reference to Exhibit 10.18 to Amendment No. 1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10.22</w:t>
            </w:r>
          </w:p>
        </w:tc>
        <w:tc>
          <w:tcPr>
            <w:tcW w:w="9360" w:type="dxa"/>
            <w:vAlign w:val="bottom"/>
          </w:tcPr>
          <w:p>
            <w:pPr>
              <w:ind w:left="80"/>
              <w:spacing w:after="0"/>
              <w:rPr>
                <w:sz w:val="20"/>
                <w:szCs w:val="20"/>
                <w:color w:val="auto"/>
              </w:rPr>
            </w:pPr>
            <w:r>
              <w:rPr>
                <w:rFonts w:ascii="Arial" w:cs="Arial" w:eastAsia="Arial" w:hAnsi="Arial"/>
                <w:sz w:val="18"/>
                <w:szCs w:val="18"/>
                <w:color w:val="auto"/>
                <w:w w:val="98"/>
              </w:rPr>
              <w:t>Master Drilling Agreement, dated January 1, 2012, by and between Windsor Permian LLC and Bison Drilling and Field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Services LLC (incorporated by reference to Exhibit 10.19 to Amendment No. 1 to the Registration Statement on Form S-1,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333-179502,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10.23</w:t>
            </w:r>
          </w:p>
        </w:tc>
        <w:tc>
          <w:tcPr>
            <w:tcW w:w="9360" w:type="dxa"/>
            <w:vAlign w:val="bottom"/>
          </w:tcPr>
          <w:p>
            <w:pPr>
              <w:ind w:left="80"/>
              <w:spacing w:after="0"/>
              <w:rPr>
                <w:sz w:val="20"/>
                <w:szCs w:val="20"/>
                <w:color w:val="auto"/>
              </w:rPr>
            </w:pPr>
            <w:r>
              <w:rPr>
                <w:rFonts w:ascii="Arial" w:cs="Arial" w:eastAsia="Arial" w:hAnsi="Arial"/>
                <w:sz w:val="18"/>
                <w:szCs w:val="18"/>
                <w:color w:val="auto"/>
                <w:w w:val="97"/>
              </w:rPr>
              <w:t>Gas Purchase Agreement, dated May 1, 2009, by and between Windsor Permian LLC and Feagan Gathering Company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10.20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10.24</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Amendment to Gas Purchase Agreement, dated July 1, 2011, by and between Windsor Permian LLC and MidMar Gas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10.21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10.25</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Amendment to Gas Purchase Agreement, dated January 11, 2012, by and between Windsor Permian LLC and MidMar Gas</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10.22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10.26</w:t>
            </w:r>
          </w:p>
        </w:tc>
        <w:tc>
          <w:tcPr>
            <w:tcW w:w="9360" w:type="dxa"/>
            <w:vAlign w:val="bottom"/>
          </w:tcPr>
          <w:p>
            <w:pPr>
              <w:ind w:left="80"/>
              <w:spacing w:after="0"/>
              <w:rPr>
                <w:sz w:val="20"/>
                <w:szCs w:val="20"/>
                <w:color w:val="auto"/>
              </w:rPr>
            </w:pPr>
            <w:r>
              <w:rPr>
                <w:rFonts w:ascii="Arial" w:cs="Arial" w:eastAsia="Arial" w:hAnsi="Arial"/>
                <w:sz w:val="18"/>
                <w:szCs w:val="18"/>
                <w:color w:val="auto"/>
                <w:w w:val="89"/>
              </w:rPr>
              <w:t>Shared Services Agreement, dated January 1, 2012 by and between Windsor Permian LLC and Everest Operations Management</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LLC (incorporated by reference to Exhibit 10.23 to Amendment No. 2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June 11,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10.27</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Subordinated note made by Windsor Permian LLC in favor of Lambda Investors LLC, dated May 14, 2012 (incorporated by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reference to Exhibit 10.23 to Amendment No. 2 to the Registration Statement on Form S-1, File No. 333-179502, filed by the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Company with the SEC on June 11, 2012).</w:t>
            </w:r>
          </w:p>
        </w:tc>
      </w:tr>
      <w:tr>
        <w:trPr>
          <w:trHeight w:val="486"/>
        </w:trPr>
        <w:tc>
          <w:tcPr>
            <w:tcW w:w="1120" w:type="dxa"/>
            <w:vAlign w:val="bottom"/>
          </w:tcPr>
          <w:p>
            <w:pPr>
              <w:spacing w:after="0"/>
              <w:rPr>
                <w:sz w:val="24"/>
                <w:szCs w:val="24"/>
                <w:color w:val="auto"/>
              </w:rPr>
            </w:pPr>
          </w:p>
        </w:tc>
        <w:tc>
          <w:tcPr>
            <w:tcW w:w="9360" w:type="dxa"/>
            <w:vAlign w:val="bottom"/>
          </w:tcPr>
          <w:p>
            <w:pPr>
              <w:ind w:left="438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0560"/>
          </w:cols>
          <w:pgMar w:left="240" w:top="125" w:right="109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Borders>
              <w:bottom w:val="single" w:sz="8" w:color="231F20"/>
            </w:tcBorders>
          </w:tcPr>
          <w:p>
            <w:pPr>
              <w:ind w:left="80"/>
              <w:spacing w:after="0"/>
              <w:rPr>
                <w:sz w:val="20"/>
                <w:szCs w:val="20"/>
                <w:color w:val="auto"/>
              </w:rPr>
            </w:pPr>
            <w:r>
              <w:rPr>
                <w:rFonts w:ascii="Arial" w:cs="Arial" w:eastAsia="Arial" w:hAnsi="Arial"/>
                <w:sz w:val="14"/>
                <w:szCs w:val="14"/>
                <w:b w:val="1"/>
                <w:bCs w:val="1"/>
                <w:color w:val="auto"/>
              </w:rPr>
              <w:t>Number Description</w:t>
            </w:r>
          </w:p>
        </w:tc>
      </w:tr>
      <w:tr>
        <w:trPr>
          <w:trHeight w:val="282"/>
        </w:trPr>
        <w:tc>
          <w:tcPr>
            <w:tcW w:w="1120" w:type="dxa"/>
            <w:vAlign w:val="bottom"/>
          </w:tcPr>
          <w:p>
            <w:pPr>
              <w:ind w:left="40"/>
              <w:spacing w:after="0"/>
              <w:rPr>
                <w:sz w:val="20"/>
                <w:szCs w:val="20"/>
                <w:color w:val="auto"/>
              </w:rPr>
            </w:pPr>
            <w:r>
              <w:rPr>
                <w:rFonts w:ascii="Arial" w:cs="Arial" w:eastAsia="Arial" w:hAnsi="Arial"/>
                <w:sz w:val="18"/>
                <w:szCs w:val="18"/>
                <w:color w:val="auto"/>
              </w:rPr>
              <w:t>10.28</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First Amendment to Subordinated Note made by Windsor Permian LLC in favor of Lambda Investors LLC, dated September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2"/>
              </w:rPr>
              <w:t>28, 2012 (incorporated by reference to Exhibit 10.35 to Amendment No. 5 to the Registration Statement on Form S-1, File No.</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333-179502, filed by the Company with the SEC on October 2,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10.29</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Crude Oil Purchase Agreement, dated May 24, 2012, by and between Windsor Permian LLC and Shell Trading (US) Company</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10.26 to Amendment No. 4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August 20,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10.30</w:t>
            </w:r>
          </w:p>
        </w:tc>
        <w:tc>
          <w:tcPr>
            <w:tcW w:w="9360" w:type="dxa"/>
            <w:vAlign w:val="bottom"/>
          </w:tcPr>
          <w:p>
            <w:pPr>
              <w:ind w:left="80"/>
              <w:spacing w:after="0"/>
              <w:rPr>
                <w:sz w:val="20"/>
                <w:szCs w:val="20"/>
                <w:color w:val="auto"/>
              </w:rPr>
            </w:pPr>
            <w:r>
              <w:rPr>
                <w:rFonts w:ascii="Arial" w:cs="Arial" w:eastAsia="Arial" w:hAnsi="Arial"/>
                <w:sz w:val="18"/>
                <w:szCs w:val="18"/>
                <w:color w:val="auto"/>
                <w:w w:val="90"/>
              </w:rPr>
              <w:t>Shared Services Agreement, dated as of March 1, 2008, by and between Windsor Energy Resources LLC and Windsor Permian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LLC (incorporated by reference to Exhibit 10.6 to Amendment No. 1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May 8,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10.31</w:t>
            </w:r>
          </w:p>
        </w:tc>
        <w:tc>
          <w:tcPr>
            <w:tcW w:w="9360" w:type="dxa"/>
            <w:vAlign w:val="bottom"/>
          </w:tcPr>
          <w:p>
            <w:pPr>
              <w:ind w:left="80"/>
              <w:spacing w:after="0"/>
              <w:rPr>
                <w:sz w:val="20"/>
                <w:szCs w:val="20"/>
                <w:color w:val="auto"/>
              </w:rPr>
            </w:pPr>
            <w:r>
              <w:rPr>
                <w:rFonts w:ascii="Arial" w:cs="Arial" w:eastAsia="Arial" w:hAnsi="Arial"/>
                <w:sz w:val="18"/>
                <w:szCs w:val="18"/>
                <w:color w:val="auto"/>
                <w:w w:val="96"/>
              </w:rPr>
              <w:t>Office Lease Agreement, dated June 8, 2012, by and between Windsor Permian LLC and Caliber Investment Group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(incorporated by reference to Exhibit 10.27 to Amendment No. 3 to the Registration Statement on Form S-1, File No. 333-</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10.32</w:t>
            </w:r>
          </w:p>
        </w:tc>
        <w:tc>
          <w:tcPr>
            <w:tcW w:w="9360" w:type="dxa"/>
            <w:vAlign w:val="bottom"/>
          </w:tcPr>
          <w:p>
            <w:pPr>
              <w:ind w:left="80"/>
              <w:spacing w:after="0"/>
              <w:rPr>
                <w:sz w:val="20"/>
                <w:szCs w:val="20"/>
                <w:color w:val="auto"/>
              </w:rPr>
            </w:pPr>
            <w:r>
              <w:rPr>
                <w:rFonts w:ascii="Arial" w:cs="Arial" w:eastAsia="Arial" w:hAnsi="Arial"/>
                <w:sz w:val="18"/>
                <w:szCs w:val="18"/>
                <w:color w:val="auto"/>
                <w:w w:val="93"/>
              </w:rPr>
              <w:t>Assignment and Assumption of Office Lease Agreement, effective June 1, 2012, by and between Windsor Permian LLC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5"/>
              </w:rPr>
              <w:t>Diamondback E&amp;P LLC (incorporated by reference to Exhibit 10.28 to Amendment No. 3 to the Registration Statement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Form S-1, File No. 333-179502, filed by the Company with the SEC on July 5, 2012).</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10.33</w:t>
            </w:r>
          </w:p>
        </w:tc>
        <w:tc>
          <w:tcPr>
            <w:tcW w:w="9360" w:type="dxa"/>
            <w:vAlign w:val="bottom"/>
          </w:tcPr>
          <w:p>
            <w:pPr>
              <w:ind w:left="80"/>
              <w:spacing w:after="0"/>
              <w:rPr>
                <w:sz w:val="20"/>
                <w:szCs w:val="20"/>
                <w:color w:val="auto"/>
              </w:rPr>
            </w:pPr>
            <w:r>
              <w:rPr>
                <w:rFonts w:ascii="Arial" w:cs="Arial" w:eastAsia="Arial" w:hAnsi="Arial"/>
                <w:sz w:val="18"/>
                <w:szCs w:val="18"/>
                <w:color w:val="auto"/>
                <w:w w:val="95"/>
              </w:rPr>
              <w:t>Master Drilling Agreement, effective as of January 1, 2013, by and between Diamondback E&amp;P LLC and Bison Drilling and</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Field Services LLC (incorporated by reference to Exhibit 10.1 to the Form 8-K, File No. 001-35700,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10.34</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Master Field Services Agreement, effective as of January 1, 2013, by and between Diamondback E&amp;P LLC and Bison Drilling</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and Field Services LLC (incorporated by reference to Exhibit 10.2 to the Form 8-K, File No. 001-35700, filed by the Company</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with the SEC on February 1,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10.35</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to Master Field Services Agreement, dated as of February 21, 2013, by and between Diamondback E&amp;P LLC</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and Bison Drilling and Field Services LLC.</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10.36†</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Amended and Restated Employment Agreement dated as of August 20, 2012, by and between Michael Hollis and Windsor</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Permian LLC (incorporated by reference to Exhibit 10.36 to the Form 10-K/A, file No. 001-357000, filed by the Company with</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the SEC on April 10,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10.37†</w:t>
            </w:r>
          </w:p>
        </w:tc>
        <w:tc>
          <w:tcPr>
            <w:tcW w:w="9360" w:type="dxa"/>
            <w:vAlign w:val="bottom"/>
          </w:tcPr>
          <w:p>
            <w:pPr>
              <w:ind w:left="80"/>
              <w:spacing w:after="0"/>
              <w:rPr>
                <w:sz w:val="20"/>
                <w:szCs w:val="20"/>
                <w:color w:val="auto"/>
              </w:rPr>
            </w:pPr>
            <w:r>
              <w:rPr>
                <w:rFonts w:ascii="Arial" w:cs="Arial" w:eastAsia="Arial" w:hAnsi="Arial"/>
                <w:sz w:val="18"/>
                <w:szCs w:val="18"/>
                <w:color w:val="auto"/>
                <w:w w:val="91"/>
              </w:rPr>
              <w:t>First Amendment effective as of January 1, 2013 to the Amended and Restated Employment Agreement dated as of August 20,</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8"/>
              </w:rPr>
              <w:t>2012 by and between Michael Hollis and Windsor Permian LLC, as subsequently assigned to Diamondback E&amp;P LLC</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4"/>
              </w:rPr>
              <w:t>(incorporated by reference to Exhibit 10.37 to the Form 10-K/A, file No. 001-357000, filed by the Company with the SEC on</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April 10,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10.38†</w:t>
            </w:r>
          </w:p>
        </w:tc>
        <w:tc>
          <w:tcPr>
            <w:tcW w:w="9360" w:type="dxa"/>
            <w:vAlign w:val="bottom"/>
          </w:tcPr>
          <w:p>
            <w:pPr>
              <w:ind w:left="80"/>
              <w:spacing w:after="0"/>
              <w:rPr>
                <w:sz w:val="20"/>
                <w:szCs w:val="20"/>
                <w:color w:val="auto"/>
              </w:rPr>
            </w:pPr>
            <w:r>
              <w:rPr>
                <w:rFonts w:ascii="Arial" w:cs="Arial" w:eastAsia="Arial" w:hAnsi="Arial"/>
                <w:sz w:val="18"/>
                <w:szCs w:val="18"/>
                <w:color w:val="auto"/>
                <w:w w:val="94"/>
              </w:rPr>
              <w:t>Form of Amendment to Restricted Stock Unit Certificate (incorporated by reference to Exhibit 10.38 to the Form 10-K/A, file</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No. 001-357000, filed by the Company with the SEC on April 10, 2013).</w:t>
            </w:r>
          </w:p>
        </w:tc>
      </w:tr>
      <w:tr>
        <w:trPr>
          <w:trHeight w:val="310"/>
        </w:trPr>
        <w:tc>
          <w:tcPr>
            <w:tcW w:w="1120" w:type="dxa"/>
            <w:vAlign w:val="bottom"/>
          </w:tcPr>
          <w:p>
            <w:pPr>
              <w:ind w:left="40"/>
              <w:spacing w:after="0"/>
              <w:rPr>
                <w:sz w:val="20"/>
                <w:szCs w:val="20"/>
                <w:color w:val="auto"/>
              </w:rPr>
            </w:pPr>
            <w:r>
              <w:rPr>
                <w:rFonts w:ascii="Arial" w:cs="Arial" w:eastAsia="Arial" w:hAnsi="Arial"/>
                <w:sz w:val="18"/>
                <w:szCs w:val="18"/>
                <w:color w:val="auto"/>
              </w:rPr>
              <w:t>10.39</w:t>
            </w:r>
          </w:p>
        </w:tc>
        <w:tc>
          <w:tcPr>
            <w:tcW w:w="9360" w:type="dxa"/>
            <w:vAlign w:val="bottom"/>
          </w:tcPr>
          <w:p>
            <w:pPr>
              <w:ind w:left="80"/>
              <w:spacing w:after="0"/>
              <w:rPr>
                <w:sz w:val="20"/>
                <w:szCs w:val="20"/>
                <w:color w:val="auto"/>
              </w:rPr>
            </w:pPr>
            <w:r>
              <w:rPr>
                <w:rFonts w:ascii="Arial" w:cs="Arial" w:eastAsia="Arial" w:hAnsi="Arial"/>
                <w:sz w:val="18"/>
                <w:szCs w:val="18"/>
                <w:color w:val="auto"/>
                <w:w w:val="92"/>
              </w:rPr>
              <w:t>Lease Amendment No. 6 effective May 1, 2013 to Lease Agreement dated as of April 19, 2011, as amended, by and between</w:t>
            </w:r>
          </w:p>
        </w:tc>
      </w:tr>
      <w:tr>
        <w:trPr>
          <w:trHeight w:val="216"/>
        </w:trPr>
        <w:tc>
          <w:tcPr>
            <w:tcW w:w="1120" w:type="dxa"/>
            <w:vAlign w:val="bottom"/>
          </w:tcPr>
          <w:p>
            <w:pPr>
              <w:spacing w:after="0"/>
              <w:rPr>
                <w:sz w:val="18"/>
                <w:szCs w:val="18"/>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w w:val="93"/>
              </w:rPr>
              <w:t>Fasken Midland, LLC and Windsor Permian LLC (incorporated by reference to Exhibit 10.39 to the Form 10-K/A, file No. 001-</w:t>
            </w:r>
          </w:p>
        </w:tc>
      </w:tr>
      <w:tr>
        <w:trPr>
          <w:trHeight w:val="230"/>
        </w:trPr>
        <w:tc>
          <w:tcPr>
            <w:tcW w:w="1120" w:type="dxa"/>
            <w:vAlign w:val="bottom"/>
          </w:tcPr>
          <w:p>
            <w:pPr>
              <w:spacing w:after="0"/>
              <w:rPr>
                <w:sz w:val="20"/>
                <w:szCs w:val="20"/>
                <w:color w:val="auto"/>
              </w:rPr>
            </w:pPr>
          </w:p>
        </w:tc>
        <w:tc>
          <w:tcPr>
            <w:tcW w:w="9360" w:type="dxa"/>
            <w:vAlign w:val="bottom"/>
          </w:tcPr>
          <w:p>
            <w:pPr>
              <w:ind w:left="80"/>
              <w:spacing w:after="0"/>
              <w:rPr>
                <w:sz w:val="20"/>
                <w:szCs w:val="20"/>
                <w:color w:val="auto"/>
              </w:rPr>
            </w:pPr>
            <w:r>
              <w:rPr>
                <w:rFonts w:ascii="Arial" w:cs="Arial" w:eastAsia="Arial" w:hAnsi="Arial"/>
                <w:sz w:val="18"/>
                <w:szCs w:val="18"/>
                <w:color w:val="auto"/>
              </w:rPr>
              <w:t>357000, filed by the Company with the SEC on April 10, 2013).</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21.1*</w:t>
            </w:r>
          </w:p>
        </w:tc>
        <w:tc>
          <w:tcPr>
            <w:tcW w:w="9360" w:type="dxa"/>
            <w:vAlign w:val="bottom"/>
          </w:tcPr>
          <w:p>
            <w:pPr>
              <w:ind w:left="80"/>
              <w:spacing w:after="0"/>
              <w:rPr>
                <w:sz w:val="20"/>
                <w:szCs w:val="20"/>
                <w:color w:val="auto"/>
              </w:rPr>
            </w:pPr>
            <w:r>
              <w:rPr>
                <w:rFonts w:ascii="Arial" w:cs="Arial" w:eastAsia="Arial" w:hAnsi="Arial"/>
                <w:sz w:val="18"/>
                <w:szCs w:val="18"/>
                <w:color w:val="auto"/>
              </w:rPr>
              <w:t>List of Significant Subsidiaries of the Company.</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23.1*</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23.2*</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23.3*</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Pinnacle Energy Services, LLC.</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23.4*</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Ryder Scott Company.</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23.5**</w:t>
            </w:r>
          </w:p>
        </w:tc>
        <w:tc>
          <w:tcPr>
            <w:tcW w:w="9360" w:type="dxa"/>
            <w:vAlign w:val="bottom"/>
          </w:tcPr>
          <w:p>
            <w:pPr>
              <w:ind w:left="80"/>
              <w:spacing w:after="0"/>
              <w:rPr>
                <w:sz w:val="20"/>
                <w:szCs w:val="20"/>
                <w:color w:val="auto"/>
              </w:rPr>
            </w:pPr>
            <w:r>
              <w:rPr>
                <w:rFonts w:ascii="Arial" w:cs="Arial" w:eastAsia="Arial" w:hAnsi="Arial"/>
                <w:sz w:val="18"/>
                <w:szCs w:val="18"/>
                <w:color w:val="auto"/>
              </w:rPr>
              <w:t>Consent of Akin Gump Strauss Hauer &amp; Feld LLP (included in Exhibit 5.1).</w:t>
            </w:r>
          </w:p>
        </w:tc>
      </w:tr>
      <w:tr>
        <w:trPr>
          <w:trHeight w:val="324"/>
        </w:trPr>
        <w:tc>
          <w:tcPr>
            <w:tcW w:w="1120" w:type="dxa"/>
            <w:vAlign w:val="bottom"/>
          </w:tcPr>
          <w:p>
            <w:pPr>
              <w:ind w:left="40"/>
              <w:spacing w:after="0"/>
              <w:rPr>
                <w:sz w:val="20"/>
                <w:szCs w:val="20"/>
                <w:color w:val="auto"/>
              </w:rPr>
            </w:pPr>
            <w:r>
              <w:rPr>
                <w:rFonts w:ascii="Arial" w:cs="Arial" w:eastAsia="Arial" w:hAnsi="Arial"/>
                <w:sz w:val="18"/>
                <w:szCs w:val="18"/>
                <w:color w:val="auto"/>
              </w:rPr>
              <w:t>24.1*</w:t>
            </w:r>
          </w:p>
        </w:tc>
        <w:tc>
          <w:tcPr>
            <w:tcW w:w="9360" w:type="dxa"/>
            <w:vAlign w:val="bottom"/>
          </w:tcPr>
          <w:p>
            <w:pPr>
              <w:ind w:left="80"/>
              <w:spacing w:after="0"/>
              <w:rPr>
                <w:sz w:val="20"/>
                <w:szCs w:val="20"/>
                <w:color w:val="auto"/>
              </w:rPr>
            </w:pPr>
            <w:r>
              <w:rPr>
                <w:rFonts w:ascii="Arial" w:cs="Arial" w:eastAsia="Arial" w:hAnsi="Arial"/>
                <w:sz w:val="18"/>
                <w:szCs w:val="18"/>
                <w:color w:val="auto"/>
              </w:rPr>
              <w:t>Power of Attorney.</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9"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ectPr>
          <w:pgSz w:w="11900" w:h="16838" w:orient="portrait"/>
          <w:cols w:equalWidth="0" w:num="1">
            <w:col w:w="10560"/>
          </w:cols>
          <w:pgMar w:left="240" w:top="12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0560"/>
          </w:cols>
          <w:pgMar w:left="240" w:top="125" w:right="109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Significant Subsidiaries of Diamondback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Diamondback E&amp;P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O&amp;G LLC</w:t>
      </w:r>
    </w:p>
    <w:p>
      <w:pPr>
        <w:sectPr>
          <w:pgSz w:w="11900" w:h="16838" w:orient="portrait"/>
          <w:cols w:equalWidth="0" w:num="1">
            <w:col w:w="11420"/>
          </w:cols>
          <w:pgMar w:left="240" w:top="36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issued our report dated March 1, 2013 with respect to the combined consolidated financial statements included in the Annual Report on Form 10-K for the year ended December 31, 2012 of Diamondback Energy, Inc., which are incorporated by reference in this Registration Statement. We consent to the incorporation by reference in the Registration Statement of the aforementioned report, and to the use of our name as it appears under the caption “Experts”.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2013</w:t>
      </w:r>
    </w:p>
    <w:p>
      <w:pPr>
        <w:sectPr>
          <w:pgSz w:w="11900" w:h="16838" w:orient="portrait"/>
          <w:cols w:equalWidth="0" w:num="1">
            <w:col w:w="11420"/>
          </w:cols>
          <w:pgMar w:left="240" w:top="6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issued our report dated April 24, 2012, with respect to the statements of revenues and direct operating expenses of working and revenue interests of certain oil and gas properties owned by Gulfport Energy Corporation contained in the Registration Statement. We consent to the use of the aforementioned report in the Registration Statement, and to the use of our name as it appears under the caption “Experts”.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2013</w:t>
      </w:r>
    </w:p>
    <w:p>
      <w:pPr>
        <w:sectPr>
          <w:pgSz w:w="11900" w:h="16838" w:orient="portrait"/>
          <w:cols w:equalWidth="0" w:num="1">
            <w:col w:w="11420"/>
          </w:cols>
          <w:pgMar w:left="240" w:top="6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PINNACLE ENERGY SERVICES, LLC</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issued our report letter dated January 25, 2011 for the year ended December 31, 2010 on estimates of proved reserves and future net cash flows of certain oil and natural gas properties located in the Permian Basin of West Texas of Windsor Permian LLC, successor in interest to Windsor Energy Group, LLC. As independent oil and gas consultants, we hereby consent to the use and inclusion of information from the aforementioned report letter in the Registration Statement on Form S-1 (the “Registration Statement”) of Diamondback Energy, Inc. and all amendments to the Registration Statement. We hereby also consent to the references to our firm and to the use of our name, as it appears under the caption “Experts,” in the Registration Statement.</w:t>
      </w:r>
    </w:p>
    <w:p>
      <w:pPr>
        <w:spacing w:after="0" w:line="32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PINNACLE ENERGY SERVICES LLC</w:t>
      </w:r>
    </w:p>
    <w:p>
      <w:pPr>
        <w:spacing w:after="0" w:line="29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John Paul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p>
      <w:pPr>
        <w:spacing w:after="0" w:line="7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John Paul Dick</w:t>
      </w:r>
    </w:p>
    <w:p>
      <w:pPr>
        <w:spacing w:after="0" w:line="86" w:lineRule="exact"/>
        <w:rPr>
          <w:sz w:val="20"/>
          <w:szCs w:val="20"/>
          <w:color w:val="auto"/>
        </w:rPr>
      </w:pPr>
    </w:p>
    <w:p>
      <w:pPr>
        <w:sectPr>
          <w:pgSz w:w="11900" w:h="16838" w:orient="portrait"/>
          <w:cols w:equalWidth="0" w:num="2">
            <w:col w:w="6680" w:space="560"/>
            <w:col w:w="4180"/>
          </w:cols>
          <w:pgMar w:left="240" w:top="837" w:right="239" w:bottom="1440" w:gutter="0" w:footer="0" w:header="0"/>
          <w:type w:val="continuous"/>
        </w:sect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Manager, Registered Petroleum Engineer</w:t>
      </w:r>
    </w:p>
    <w:p>
      <w:pPr>
        <w:spacing w:after="0" w:line="222" w:lineRule="exact"/>
        <w:rPr>
          <w:sz w:val="20"/>
          <w:szCs w:val="20"/>
          <w:color w:val="auto"/>
        </w:rPr>
      </w:pPr>
    </w:p>
    <w:p>
      <w:pPr>
        <w:sectPr>
          <w:pgSz w:w="11900" w:h="16838" w:orient="portrait"/>
          <w:cols w:equalWidth="0" w:num="2">
            <w:col w:w="6600" w:space="640"/>
            <w:col w:w="4180"/>
          </w:cols>
          <w:pgMar w:left="240" w:top="837" w:right="2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April 9, 2013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Oklahoma City, Oklahoma</w:t>
      </w:r>
    </w:p>
    <w:p>
      <w:pPr>
        <w:sectPr>
          <w:pgSz w:w="11900" w:h="16838" w:orient="portrait"/>
          <w:cols w:equalWidth="0" w:num="1">
            <w:col w:w="11420"/>
          </w:cols>
          <w:pgMar w:left="240" w:top="837" w:right="23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RYDER SCOTT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references to our firm in the Registration Statement on Form S-1 (the “Registration Statement”) of Diamondback Energy, Inc. and to</w:t>
      </w:r>
    </w:p>
    <w:p>
      <w:pPr>
        <w:spacing w:after="0" w:line="46" w:lineRule="exact"/>
        <w:rPr>
          <w:sz w:val="20"/>
          <w:szCs w:val="20"/>
          <w:color w:val="auto"/>
        </w:rPr>
      </w:pPr>
    </w:p>
    <w:p>
      <w:pPr>
        <w:ind w:right="100" w:firstLine="8"/>
        <w:spacing w:after="0" w:line="292" w:lineRule="auto"/>
        <w:tabs>
          <w:tab w:leader="none" w:pos="2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inclusion in the Registration Statement and any amendments thereto of our report dated January 16, 2013 with respect to the estimates of reserves, future production and income attributable to certain leasehold interests of Diamondback Energy, Inc. as of December 31, 2012 and (ii) the use of information in the Registration Statement from our report dated May 31, 2012 with respect to the estimates of reserves, future production and income attributable to certain leasehold interests of Windsor Permian LLC as of December 31, 2011, in each case with respect to properties located in the Permian Basin in West Texas. We further consent to the reference to our firm under the heading “Experts” in the Registration Statement and any amendments thereto.</w:t>
      </w:r>
    </w:p>
    <w:p>
      <w:pPr>
        <w:spacing w:after="0" w:line="3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Ryder Scott Company, L.P.</w:t>
      </w:r>
    </w:p>
    <w:p>
      <w:pPr>
        <w:spacing w:after="0" w:line="5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RYDER SCOTT COMPANY, L.P.</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TBPE Firm Registration No. F-1580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2013</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lowerLetter"/>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lvl w:ilvl="1">
      <w:lvlJc w:val="left"/>
      <w:lvlText w:val="•"/>
      <w:numFmt w:val="bullet"/>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2"/>
    </w:lvl>
  </w:abstractNum>
  <w:abstractNum w:abstractNumId="29">
    <w:nsid w:val="12E685FB"/>
    <w:multiLevelType w:val="hybridMultilevel"/>
    <w:lvl w:ilvl="0">
      <w:lvlJc w:val="left"/>
      <w:lvlText w:val="%1"/>
      <w:numFmt w:val="decimal"/>
      <w:start w:val="1"/>
    </w:lvl>
    <w:lvl w:ilvl="1">
      <w:lvlJc w:val="left"/>
      <w:lvlText w:val="(%2)"/>
      <w:numFmt w:val="lowerLetter"/>
      <w:start w:val="1"/>
    </w:lvl>
  </w:abstractNum>
  <w:abstractNum w:abstractNumId="30">
    <w:nsid w:val="70C6A529"/>
    <w:multiLevelType w:val="hybridMultilevel"/>
    <w:lvl w:ilvl="0">
      <w:lvlJc w:val="left"/>
      <w:lvlText w:val="%1."/>
      <w:numFmt w:val="decimal"/>
      <w:start w:val="3"/>
    </w:lvl>
    <w:lvl w:ilvl="1">
      <w:lvlJc w:val="left"/>
      <w:lvlText w:val="%2"/>
      <w:numFmt w:val="lowerLetter"/>
      <w:start w:val="1"/>
    </w:lvl>
  </w:abstractNum>
  <w:abstractNum w:abstractNumId="31">
    <w:nsid w:val="520EEDD1"/>
    <w:multiLevelType w:val="hybridMultilevel"/>
    <w:lvl w:ilvl="0">
      <w:lvlJc w:val="left"/>
      <w:lvlText w:val="%1"/>
      <w:numFmt w:val="decimal"/>
      <w:start w:val="1"/>
    </w:lvl>
    <w:lvl w:ilvl="1">
      <w:lvlJc w:val="left"/>
      <w:lvlText w:val="(%2)"/>
      <w:numFmt w:val="lowerLetter"/>
      <w:start w:val="1"/>
    </w:lvl>
  </w:abstractNum>
  <w:abstractNum w:abstractNumId="32">
    <w:nsid w:val="374A3FE6"/>
    <w:multiLevelType w:val="hybridMultilevel"/>
    <w:lvl w:ilvl="0">
      <w:lvlJc w:val="left"/>
      <w:lvlText w:val="%1."/>
      <w:numFmt w:val="decimal"/>
      <w:start w:val="4"/>
    </w:lvl>
    <w:lvl w:ilvl="1">
      <w:lvlJc w:val="left"/>
      <w:lvlText w:val="%2"/>
      <w:numFmt w:val="lowerLetter"/>
      <w:start w:val="1"/>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3"/>
    </w:lvl>
    <w:lvl w:ilvl="1">
      <w:lvlJc w:val="left"/>
      <w:lvlText w:val="(%2)"/>
      <w:numFmt w:val="lowerRoman"/>
      <w:start w:val="1"/>
    </w:lvl>
  </w:abstractNum>
  <w:abstractNum w:abstractNumId="50">
    <w:nsid w:val="77AE35EB"/>
    <w:multiLevelType w:val="hybridMultilevel"/>
    <w:lvl w:ilvl="0">
      <w:lvlJc w:val="left"/>
      <w:lvlText w:val="(%1)"/>
      <w:numFmt w:val="decimal"/>
      <w:start w:val="12"/>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lowerRoman"/>
      <w:start w:val="2"/>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Roman"/>
      <w:start w:val="1"/>
    </w:lvl>
    <w:lvl w:ilvl="1">
      <w:lvlJc w:val="left"/>
      <w:lvlText w:val="(%2)"/>
      <w:numFmt w:val="upperLetter"/>
      <w:start w:val="1"/>
    </w:lvl>
  </w:abstractNum>
  <w:abstractNum w:abstractNumId="63">
    <w:nsid w:val="15014ACB"/>
    <w:multiLevelType w:val="hybridMultilevel"/>
    <w:lvl w:ilvl="0">
      <w:lvlJc w:val="left"/>
      <w:lvlText w:val="(%1)"/>
      <w:numFmt w:val="lowerRoman"/>
      <w:start w:val="3"/>
    </w:lvl>
    <w:lvl w:ilvl="1">
      <w:lvlJc w:val="left"/>
      <w:lvlText w:val="(%2)"/>
      <w:numFmt w:val="upperLetter"/>
      <w:start w:val="1"/>
    </w:lvl>
  </w:abstractNum>
  <w:abstractNum w:abstractNumId="64">
    <w:nsid w:val="5F5E7FD0"/>
    <w:multiLevelType w:val="hybridMultilevel"/>
    <w:lvl w:ilvl="0">
      <w:lvlJc w:val="left"/>
      <w:lvlText w:val="(%1)"/>
      <w:numFmt w:val="lowerRoman"/>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Roman"/>
      <w:start w:val="2"/>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lvl w:ilvl="1">
      <w:lvlJc w:val="left"/>
      <w:lvlText w:val="(%2)"/>
      <w:numFmt w:val="upperLetter"/>
      <w:start w:val="2"/>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2019-12-08T02:38:58Z</dcterms:created>
  <dcterms:modified xsi:type="dcterms:W3CDTF">2019-12-08T02:38:58Z</dcterms:modified>
</cp:coreProperties>
</file>